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stión-del-trabajo-de-arquitectura"/>
    <w:p>
      <w:pPr>
        <w:pStyle w:val="Ttulo3"/>
      </w:pPr>
      <w:r>
        <w:t xml:space="preserve">Gestión del Trabajo de Arquitectura</w:t>
      </w:r>
    </w:p>
    <w:p>
      <w:pPr>
        <w:pStyle w:val="FirstParagraph"/>
      </w:pP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ITA, ítem de trabajo de arquitectura, puede ser cualquiera de los requerimientos de trabajo para los que el flujo FLARQ03 está optimizado, esto es, transiciones, interfaces, reformas, controles, integraciones, análisis o simplificaciones. Otros tipos de requerimientos se pueden agregar sin perjuicio de estos.</w:t>
      </w:r>
    </w:p>
    <w:p>
      <w:pPr>
        <w:pStyle w:val="Textoindependiente"/>
      </w:pPr>
    </w:p>
    <w:bookmarkEnd w:id="20"/>
    <w:bookmarkStart w:id="21" w:name="medición-del-progreso-del-trabajo"/>
    <w:p>
      <w:pPr>
        <w:pStyle w:val="Ttulo3"/>
      </w:pPr>
      <w:r>
        <w:t xml:space="preserve">Medición Del Progreso Del Trabajo</w:t>
      </w:r>
    </w:p>
    <w:bookmarkEnd w:id="21"/>
    <w:bookmarkStart w:id="22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2"/>
    <w:bookmarkStart w:id="23" w:name="descomposición-del-trabajo"/>
    <w:p>
      <w:pPr>
        <w:pStyle w:val="Ttulo2"/>
      </w:pPr>
      <w:r>
        <w:t xml:space="preserve">Descomposición Del Trabajo</w:t>
      </w:r>
    </w:p>
    <w:bookmarkEnd w:id="23"/>
    <w:bookmarkStart w:id="24" w:name="organización-de-elementos-y-modelamiento"/>
    <w:p>
      <w:pPr>
        <w:pStyle w:val="Ttulo2"/>
      </w:pPr>
      <w:r>
        <w:t xml:space="preserve">Organización De Elementos Y Modelamiento</w:t>
      </w:r>
    </w:p>
    <w:bookmarkEnd w:id="24"/>
    <w:bookmarkStart w:id="25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2023-07-24T22:50:44Z</dcterms:created>
  <dcterms:modified xsi:type="dcterms:W3CDTF">2023-07-24T22:50:44Z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