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estión-del-trabajo-de-arquitectura"/>
    <w:p>
      <w:pPr>
        <w:pStyle w:val="Ttulo3"/>
      </w:pPr>
      <w:r>
        <w:t xml:space="preserve">Gestión del Trabajo de Arquitectura</w:t>
      </w:r>
    </w:p>
    <w:p>
      <w:pPr>
        <w:pStyle w:val="FirstParagraph"/>
      </w:pPr>
      <w:r>
        <w:t xml:space="preserve">Bajo el principio de mantener simple los procesos y procedimientos, definimos la gestión de los trabajos requeridos para mantener a las arquitecturas de referencia FNA como un pila (conjunto) priorizada de ítems de trabajo de arquitectura (ITA, en adelante) que contiene y comunica, distinto a un plan, únicamente el trabajo por realizar.</w:t>
      </w:r>
    </w:p>
    <w:p>
      <w:pPr>
        <w:pStyle w:val="Textoindependiente"/>
      </w:pPr>
      <w:r>
        <w:t xml:space="preserve">Un ITA (ítem de trabajo de arquitectura) puede ser cualquiera de los requerimientos de trabajo para los que el flujo FLARQ03 está optimizado, esto es, transiciones, interfaces, reformas, controles, integraciones, análisis o simplificaciones. Otros tipos de requerimientos se pueden agregar al flujo de trabajo sin perjuicio de estos.</w:t>
      </w:r>
    </w:p>
    <w:p>
      <w:pPr>
        <w:pStyle w:val="Textoindependiente"/>
      </w:pPr>
    </w:p>
    <w:bookmarkEnd w:id="20"/>
    <w:bookmarkStart w:id="21" w:name="medición-del-progreso-del-trabajo"/>
    <w:p>
      <w:pPr>
        <w:pStyle w:val="Ttulo3"/>
      </w:pPr>
      <w:r>
        <w:t xml:space="preserve">Medición Del Progreso Del Trabajo</w:t>
      </w:r>
    </w:p>
    <w:bookmarkEnd w:id="21"/>
    <w:bookmarkStart w:id="22" w:name="Xc2a3e73e97a00e94e42a958bd4052cf1d2e95d2"/>
    <w:p>
      <w:pPr>
        <w:pStyle w:val="Ttulo2"/>
      </w:pPr>
      <w:r>
        <w:t xml:space="preserve">Exploración De Riesgos Técnicos De Las Arquitecturas De Referencia</w:t>
      </w:r>
    </w:p>
    <w:bookmarkEnd w:id="22"/>
    <w:bookmarkStart w:id="23" w:name="descomposición-del-trabajo"/>
    <w:p>
      <w:pPr>
        <w:pStyle w:val="Ttulo2"/>
      </w:pPr>
      <w:r>
        <w:t xml:space="preserve">Descomposición Del Trabajo</w:t>
      </w:r>
    </w:p>
    <w:bookmarkEnd w:id="23"/>
    <w:bookmarkStart w:id="24" w:name="organización-de-elementos-y-modelamiento"/>
    <w:p>
      <w:pPr>
        <w:pStyle w:val="Ttulo2"/>
      </w:pPr>
      <w:r>
        <w:t xml:space="preserve">Organización De Elementos Y Modelamiento</w:t>
      </w:r>
    </w:p>
    <w:bookmarkEnd w:id="24"/>
    <w:bookmarkStart w:id="25" w:name="X2ec78d0e9427defd87dbb8dfb9efe69626c53ca"/>
    <w:p>
      <w:pPr>
        <w:pStyle w:val="Ttulo2"/>
      </w:pPr>
      <w:r>
        <w:t xml:space="preserve">Emisión De Transiciones De Las Arquitecturas De Referencia</w:t>
      </w:r>
    </w:p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2023-07-27T12:06:36Z</dcterms:created>
  <dcterms:modified xsi:type="dcterms:W3CDTF">2023-07-27T12:06:36Z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