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f7f7e228a12f512674746ca5116ea4a294f7a4"/>
    <w:p>
      <w:pPr>
        <w:pStyle w:val="Ttulo1"/>
      </w:pPr>
      <w:r>
        <w:t xml:space="preserve">Definición de Arquitectura de Referencias del FNA</w:t>
      </w:r>
    </w:p>
    <w:p>
      <w:pPr>
        <w:pStyle w:val="FirstParagraph"/>
      </w:pPr>
      <w:r>
        <w:t xml:space="preserve">Definiremos lo que en el contexto de este trabajo significa el concepto de arquitectura de referencia SOA 2.0 del FNA, y para qué sirve.</w:t>
      </w:r>
    </w:p>
    <w:p>
      <w:pPr>
        <w:pStyle w:val="Textoindependiente"/>
      </w:pPr>
      <w:r>
        <w:t xml:space="preserve">En lo general, la arquitectura de referencia del FNA (ARF, en adelante), objeto de este proyecto, es un instrumento para la toma de decisiones de cambios, similar a un mapa, tanto en la organización, funcionamiento modernización y optimización de los sistemas de información del FNA, o en alguno de los componentes primordiales. Esta último parte es importante: en este contexto, la arquitectura de referencia, distinta de un diseño de solución, no opera en artefactos ejecutables específicos, si no en componentes funcionales que las procuran materializar mediante decisiones de arquitectura (anteriores a la implementación).</w:t>
      </w:r>
    </w:p>
    <w:p>
      <w:pPr>
        <w:pStyle w:val="Textoindependiente"/>
      </w:pPr>
      <w:r>
        <w:t xml:space="preserve">Las arquitecturas de referencia del FNA (ARF) están formadas por componentes y estructuras funcionales y tecnológicas, integraciones y colaboración de datos y productos, y de servicios SOA a nivel de negocio. En virtud de esto, sirve de instrumento para el soporte de decisiones futuras de la Vicepresidencia de Tecnología del FNA, tanto en la línea de desarrollo o mejoras a las aplicaciones y herramientas de software del FNA, y para la adquisición y migración de tecnologías específicas.</w:t>
      </w:r>
    </w:p>
    <w:p>
      <w:pPr>
        <w:pStyle w:val="Textoindependiente"/>
      </w:pPr>
      <w:r>
        <w:t xml:space="preserve">En lo particular, este instrumento tecnológico se vuelve necesario para el FNA para dirigir los cambios de los servicios SOA del FNA hacia diseños y tecnologías del plano de referencia del caso que sea, ejemplo, microservicios, REST, API, infraestructura, Nube, etc., y favorece la adopción del</w:t>
      </w:r>
      <w:r>
        <w:t xml:space="preserve"> </w:t>
      </w:r>
      <w:r>
        <w:rPr>
          <w:iCs/>
          <w:i/>
        </w:rPr>
        <w:t xml:space="preserve">estilo de arquitectura orientado a eventos</w:t>
      </w:r>
      <w:r>
        <w:t xml:space="preserve"> </w:t>
      </w:r>
      <w:r>
        <w:t xml:space="preserve">resultante de los diagnósticos anteriores (</w:t>
      </w:r>
      <w:r>
        <w:t xml:space="preserve">[</w:t>
      </w:r>
      <w:hyperlink w:anchor="ref-eservices1-22">
        <w:r>
          <w:rPr>
            <w:rStyle w:val="Hipervnculo"/>
            <w:bCs/>
            <w:b/>
          </w:rPr>
          <w:t xml:space="preserve">eservices1-22?</w:t>
        </w:r>
      </w:hyperlink>
      <w:r>
        <w:t xml:space="preserve">]</w:t>
      </w:r>
      <w:r>
        <w:t xml:space="preserve"> </w:t>
      </w:r>
      <w:r>
        <w:t xml:space="preserve">y</w:t>
      </w:r>
      <w:r>
        <w:t xml:space="preserve"> </w:t>
      </w:r>
      <w:r>
        <w:t xml:space="preserve">[</w:t>
      </w:r>
      <w:hyperlink w:anchor="ref-eservices3-22">
        <w:r>
          <w:rPr>
            <w:rStyle w:val="Hipervnculo"/>
            <w:bCs/>
            <w:b/>
          </w:rPr>
          <w:t xml:space="preserve">eservices3-22?</w:t>
        </w:r>
      </w:hyperlink>
      <w:r>
        <w:t xml:space="preserve">]</w:t>
      </w:r>
      <w:r>
        <w:t xml:space="preserve">) para atender las funcionalidades y necesidades de negocio, con prioridad en las de la vicepresidencia de operaciones y de crédito FNA.</w:t>
      </w:r>
    </w:p>
    <w:p>
      <w:pPr>
        <w:pStyle w:val="Textoindependiente"/>
      </w:pPr>
      <w:r>
        <w:t xml:space="preserve">En este producto del proyecto definiremos la línea base de estas arquitecturas de referencia del FNA, a las que podemos llamar 2.0.</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2023-08-02T09:30:26Z</dcterms:created>
  <dcterms:modified xsi:type="dcterms:W3CDTF">2023-08-02T09:30:26Z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