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7f7e228a12f512674746ca5116ea4a294f7a4"/>
    <w:p>
      <w:pPr>
        <w:pStyle w:val="Ttulo1"/>
      </w:pPr>
      <w:r>
        <w:t xml:space="preserve">Definición de Arquitectura de Referencias del FNA</w:t>
      </w:r>
    </w:p>
    <w:p>
      <w:pPr>
        <w:pStyle w:val="FirstParagraph"/>
      </w:pPr>
      <w:r>
        <w:t xml:space="preserve">Definiremos lo que en el contexto de este trabajo significa el concepto de arquitectura de referencia SOA 2.0 del FNA, y para qué sirve.</w:t>
      </w:r>
    </w:p>
    <w:p>
      <w:pPr>
        <w:pStyle w:val="Textoindependiente"/>
      </w:pPr>
      <w:r>
        <w:t xml:space="preserve">En lo general, la arquitectura de referencia del FNA (ARF, en adelante), objeto de este proyecto, es un instrumento para la toma de decisiones de cambios, similar a un mapa, tanto en la organización, funcionamiento, modernización y optimización de los sistemas de información del FNA o de componentes primordiales de estos.</w:t>
      </w:r>
      <w:r>
        <w:t xml:space="preserve"> </w:t>
      </w:r>
      <w:r>
        <w:rPr>
          <w:iCs/>
          <w:i/>
        </w:rPr>
        <w:t xml:space="preserve">Esta último parte es importante: en este contexto, la arquitectura de referencia, distinta de un diseño de solución, no opera sobre artefactos ejecutables específicos de solución</w:t>
      </w:r>
      <w:r>
        <w:t xml:space="preserve"> </w:t>
      </w:r>
      <w:r>
        <w:t xml:space="preserve">(bloques de solución específicos o CBB de TOGAF), sino que lo hace sobre componentes misionales y funcionales del FNA sustentados con</w:t>
      </w:r>
      <w:r>
        <w:t xml:space="preserve"> </w:t>
      </w:r>
      <w:r>
        <w:rPr>
          <w:iCs/>
          <w:i/>
        </w:rPr>
        <w:t xml:space="preserve">decisiones de arquitectura</w:t>
      </w:r>
      <w:r>
        <w:t xml:space="preserve"> </w:t>
      </w:r>
      <w:r>
        <w:t xml:space="preserve">rectoras de la implementación.</w:t>
      </w:r>
    </w:p>
    <w:p>
      <w:pPr>
        <w:pStyle w:val="SourceCode"/>
      </w:pPr>
      <w:r>
        <w:rPr>
          <w:rStyle w:val="VerbatimChar"/>
        </w:rPr>
        <w:t xml:space="preserve">Importante. La arquitectura de referencia, distinta de un diseño de solución, no opera en artefactos ejecutables específicos_, sino que opera sobre componentes funcionales del FNA y se materializa mediante decisiones de arquitectura anteriores a la implementación.</w:t>
      </w:r>
    </w:p>
    <w:p>
      <w:pPr>
        <w:pStyle w:val="FirstParagraph"/>
      </w:pPr>
      <w:r>
        <w:t xml:space="preserve">Las arquitecturas de referencia del FNA (ARF) están formadas por componentes y estructuras funcionales y tecnológicas, integraciones y colaboración de datos y productos, y de servicios SOA a nivel de negocio. En virtud de esto, sirve de instrumento para el soporte de decisiones futuras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En lo particular, este instrumento tecnológico se vuelve necesario para el FNA para dirigir los cambios de los servicios SOA del FNA hacia diseños y tecnologías del plano de referencia (dominio) que aplique, ejemplo, microservicios, REST, API, infraestructura, Nube, etc., y favorecer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resultante de los diagnósticos anteriores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y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) para atender las funcionalidades y necesidades de negocio, con prioridad en las de la vicepresidencia de operaciones y de crédito FNA.</w:t>
      </w:r>
    </w:p>
    <w:p>
      <w:pPr>
        <w:pStyle w:val="Textoindependiente"/>
      </w:pPr>
      <w:r>
        <w:t xml:space="preserve">En este producto del proyecto definiremos la línea base de estas arquitecturas de referencia del FNA, a las que podemos llamar Arquitectura de Referencia SOA 2.0 del Fondo Nacional del Ahorro.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2023-08-14T18:52:28Z</dcterms:created>
  <dcterms:modified xsi:type="dcterms:W3CDTF">2023-08-14T18:52:28Z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