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de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sobre artefactos ejecutables específicos de solución</w:t>
      </w:r>
      <w:r>
        <w:t xml:space="preserve"> </w:t>
      </w:r>
      <w:r>
        <w:t xml:space="preserve">(bloques de solución específicos o CBB de TOGAF), sino que lo hace sobre componentes misionales y funcionales del FNA sustentados con</w:t>
      </w:r>
      <w:r>
        <w:t xml:space="preserve"> </w:t>
      </w:r>
      <w:r>
        <w:rPr>
          <w:iCs/>
          <w:i/>
        </w:rPr>
        <w:t xml:space="preserve">decisiones de arquitectura</w:t>
      </w:r>
      <w:r>
        <w:t xml:space="preserve"> </w:t>
      </w:r>
      <w:r>
        <w:t xml:space="preserve">rectoras de la implementación.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del caso que sea, ejemplo, microservicios, REST, API, infraestructura, Nube, etc.,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2.0.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2023-08-09T10:42:22Z</dcterms:created>
  <dcterms:modified xsi:type="dcterms:W3CDTF">2023-08-09T10:42:22Z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