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en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en artefactos ejecutables específicos</w:t>
      </w:r>
      <w:r>
        <w:t xml:space="preserve">, sino sobre componentes funcionales que le dan su forma mediante decisiones de arquitectura (anteriores a la implementación).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del caso que sea, ejemplo, microservicios, REST, API, infraestructura, Nube, etc.,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2.0.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2023-08-09T10:18:55Z</dcterms:created>
  <dcterms:modified xsi:type="dcterms:W3CDTF">2023-08-09T10:18:55Z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