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0">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fc6442fa-5e0b-4985-b711-f1c54687c0b8"/>
    <w:p>
      <w:pPr>
        <w:pStyle w:val="CaptionedFigure"/>
      </w:pPr>
      <w:bookmarkStart w:id="24" w:name="fig:"/>
      <w:r>
        <w:drawing>
          <wp:inline>
            <wp:extent cx="5600700" cy="4878524"/>
            <wp:effectExtent b="0" l="0" r="0" t="0"/>
            <wp:docPr descr="Figure 1: FLARQ03. Flujo de Trabajo de nivel 1 del FNA para el mantenimiento de las arquitecturas de referencia" title="" id="22" name="Picture"/>
            <a:graphic>
              <a:graphicData uri="http://schemas.openxmlformats.org/drawingml/2006/picture">
                <pic:pic>
                  <pic:nvPicPr>
                    <pic:cNvPr descr="images/flujoarqref1.png" id="23" name="Picture"/>
                    <pic:cNvPicPr>
                      <a:picLocks noChangeArrowheads="1" noChangeAspect="1"/>
                    </pic:cNvPicPr>
                  </pic:nvPicPr>
                  <pic:blipFill>
                    <a:blip r:embed="rId21"/>
                    <a:stretch>
                      <a:fillRect/>
                    </a:stretch>
                  </pic:blipFill>
                  <pic:spPr bwMode="auto">
                    <a:xfrm>
                      <a:off x="0" y="0"/>
                      <a:ext cx="5600700" cy="4878524"/>
                    </a:xfrm>
                    <a:prstGeom prst="rect">
                      <a:avLst/>
                    </a:prstGeom>
                    <a:noFill/>
                    <a:ln w="9525">
                      <a:noFill/>
                      <a:headEnd/>
                      <a:tailEnd/>
                    </a:ln>
                  </pic:spPr>
                </pic:pic>
              </a:graphicData>
            </a:graphic>
          </wp:inline>
        </w:drawing>
      </w:r>
      <w:bookmarkEnd w:id="24"/>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0e36b8cb-774b-4e54-90ae-39dd17a4ce67"/>
    <w:p>
      <w:pPr>
        <w:pStyle w:val="CaptionedFigure"/>
      </w:pPr>
      <w:bookmarkStart w:id="28" w:name="fig:"/>
      <w:r>
        <w:drawing>
          <wp:inline>
            <wp:extent cx="5600700" cy="4573557"/>
            <wp:effectExtent b="0" l="0" r="0" t="0"/>
            <wp:docPr descr="Figure 2: FLARQ03. Estructura interna del flujo de trabajo FNA para el mantenimiento de las arquitecturas de referencia" title="" id="26" name="Picture"/>
            <a:graphic>
              <a:graphicData uri="http://schemas.openxmlformats.org/drawingml/2006/picture">
                <pic:pic>
                  <pic:nvPicPr>
                    <pic:cNvPr descr="images/flujoarqref2.png" id="27" name="Picture"/>
                    <pic:cNvPicPr>
                      <a:picLocks noChangeArrowheads="1" noChangeAspect="1"/>
                    </pic:cNvPicPr>
                  </pic:nvPicPr>
                  <pic:blipFill>
                    <a:blip r:embed="rId25"/>
                    <a:stretch>
                      <a:fillRect/>
                    </a:stretch>
                  </pic:blipFill>
                  <pic:spPr bwMode="auto">
                    <a:xfrm>
                      <a:off x="0" y="0"/>
                      <a:ext cx="5600700" cy="4573557"/>
                    </a:xfrm>
                    <a:prstGeom prst="rect">
                      <a:avLst/>
                    </a:prstGeom>
                    <a:noFill/>
                    <a:ln w="9525">
                      <a:noFill/>
                      <a:headEnd/>
                      <a:tailEnd/>
                    </a:ln>
                  </pic:spPr>
                </pic:pic>
              </a:graphicData>
            </a:graphic>
          </wp:inline>
        </w:drawing>
      </w:r>
      <w:bookmarkEnd w:id="28"/>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29" w:name="Xaa2ac5002166b9b74fe00d25f7e58fe8331570b"/>
    <w:p>
      <w:pPr>
        <w:pStyle w:val="Ttulo2"/>
      </w:pPr>
      <w:r>
        <w:t xml:space="preserve">(Paso 1) Especificaciones de Arquitectura Referencia</w:t>
      </w:r>
    </w:p>
    <w:p>
      <w:pPr>
        <w:pStyle w:val="FirstParagraph"/>
      </w:pPr>
      <w:r>
        <w:t xml:space="preserve">Describiremos el paso 1 del flujo de trabajo presentado en esta sección. La importancia de este frente a los otros es que es una actividad nueva para los involucrados en la oficina de arquitectura, motivo por el cual hacemos la descripción únicamente a este paso.</w:t>
      </w:r>
    </w:p>
    <w:p>
      <w:pPr>
        <w:numPr>
          <w:ilvl w:val="0"/>
          <w:numId w:val="1002"/>
        </w:numPr>
      </w:pPr>
      <w:r>
        <w:t xml:space="preserve">(una vez cuente con la información de entrada, es decir, las brechas que el actor de negocio provee) Identificar las declaraciones generales y las</w:t>
      </w:r>
      <w:r>
        <w:t xml:space="preserve"> </w:t>
      </w:r>
      <w:r>
        <w:rPr>
          <w:bCs/>
          <w:b/>
        </w:rPr>
        <w:t xml:space="preserve">relaciones fundamentales</w:t>
      </w:r>
      <w:r>
        <w:t xml:space="preserve">.</w:t>
      </w:r>
      <w:r>
        <w:t xml:space="preserve"> </w:t>
      </w:r>
      <w:r>
        <w:t xml:space="preserve">Ejemplo:</w:t>
      </w:r>
      <w:r>
        <w:t xml:space="preserve"> </w:t>
      </w:r>
      <w:r>
        <w:t xml:space="preserve">• La aplicación 1, ejemplo, debe estar asignada a un servicio</w:t>
      </w:r>
      <w:r>
        <w:t xml:space="preserve"> </w:t>
      </w:r>
      <w:r>
        <w:rPr>
          <w:iCs/>
          <w:i/>
        </w:rPr>
        <w:t xml:space="preserve">Nombre/Id. del Servicio</w:t>
      </w:r>
      <w:r>
        <w:t xml:space="preserve"> </w:t>
      </w:r>
      <w:r>
        <w:t xml:space="preserve">que la ejecuta.</w:t>
      </w:r>
      <w:r>
        <w:t xml:space="preserve"> </w:t>
      </w:r>
      <w:r>
        <w:t xml:space="preserve">• La aplicación 1, debe estar asignada a los componentes</w:t>
      </w:r>
      <w:r>
        <w:t xml:space="preserve"> </w:t>
      </w:r>
      <w:r>
        <w:rPr>
          <w:iCs/>
          <w:i/>
        </w:rPr>
        <w:t xml:space="preserve">Nombre/Id. del Componente</w:t>
      </w:r>
      <w:r>
        <w:t xml:space="preserve"> </w:t>
      </w:r>
      <w:r>
        <w:t xml:space="preserve">que la soportan.</w:t>
      </w:r>
      <w:r>
        <w:t xml:space="preserve"> </w:t>
      </w:r>
      <w:r>
        <w:t xml:space="preserve">• La aplicación 1, responde a los eventos de negocio</w:t>
      </w:r>
      <w:r>
        <w:t xml:space="preserve"> </w:t>
      </w:r>
      <w:r>
        <w:rPr>
          <w:iCs/>
          <w:i/>
        </w:rPr>
        <w:t xml:space="preserve">Nombre/Id. del Evento</w:t>
      </w:r>
      <w:r>
        <w:t xml:space="preserve">.</w:t>
      </w:r>
    </w:p>
    <w:p>
      <w:pPr>
        <w:numPr>
          <w:ilvl w:val="0"/>
          <w:numId w:val="1002"/>
        </w:numPr>
      </w:pPr>
      <w:r>
        <w:t xml:space="preserve">Elaborar el metamodelo textual focalizado basado en las declaraciones anteriores</w:t>
      </w:r>
      <w:r>
        <w:t xml:space="preserve"> </w:t>
      </w:r>
      <w:r>
        <w:t xml:space="preserve">Ejemplo:</w:t>
      </w:r>
      <w:r>
        <w:t xml:space="preserve"> </w:t>
      </w:r>
      <w:r>
        <w:t xml:space="preserve">• La aplicación 1 está asignada al servicio</w:t>
      </w:r>
      <w:r>
        <w:t xml:space="preserve"> </w:t>
      </w:r>
      <w:r>
        <w:rPr>
          <w:iCs/>
          <w:i/>
        </w:rPr>
        <w:t xml:space="preserve">Nombre/Id. del Servicio</w:t>
      </w:r>
      <w:r>
        <w:t xml:space="preserve">.</w:t>
      </w:r>
      <w:r>
        <w:t xml:space="preserve"> </w:t>
      </w:r>
      <w:r>
        <w:t xml:space="preserve">• La aplicación 1 se compone de</w:t>
      </w:r>
      <w:r>
        <w:t xml:space="preserve"> </w:t>
      </w:r>
      <w:r>
        <w:rPr>
          <w:iCs/>
          <w:i/>
        </w:rPr>
        <w:t xml:space="preserve">Nombre/Id. del Componente</w:t>
      </w:r>
      <w:r>
        <w:t xml:space="preserve">.</w:t>
      </w:r>
      <w:r>
        <w:t xml:space="preserve"> </w:t>
      </w:r>
      <w:r>
        <w:t xml:space="preserve">• La aplicación 1 responde al evento</w:t>
      </w:r>
      <w:r>
        <w:t xml:space="preserve"> </w:t>
      </w:r>
      <w:r>
        <w:rPr>
          <w:iCs/>
          <w:i/>
        </w:rPr>
        <w:t xml:space="preserve">Nombre/Id. del Evento</w:t>
      </w:r>
      <w:r>
        <w:t xml:space="preserve">.</w:t>
      </w:r>
    </w:p>
    <w:p>
      <w:pPr>
        <w:numPr>
          <w:ilvl w:val="0"/>
          <w:numId w:val="1002"/>
        </w:numPr>
      </w:pPr>
      <w:r>
        <w:t xml:space="preserve">Elaborar el diagrama por cada declaración del metamodelo (por cada relación)</w:t>
      </w:r>
    </w:p>
    <w:bookmarkEnd w:id="29"/>
    <w:bookmarkStart w:id="30"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3"/>
        </w:numPr>
        <w:pStyle w:val="Compact"/>
      </w:pPr>
      <w:r>
        <w:t xml:space="preserve">Gestión del trabajo de arquitectura</w:t>
      </w:r>
    </w:p>
    <w:p>
      <w:pPr>
        <w:numPr>
          <w:ilvl w:val="0"/>
          <w:numId w:val="1003"/>
        </w:numPr>
        <w:pStyle w:val="Compact"/>
      </w:pPr>
      <w:r>
        <w:t xml:space="preserve">Medición del progreso del trabajo</w:t>
      </w:r>
    </w:p>
    <w:p>
      <w:pPr>
        <w:numPr>
          <w:ilvl w:val="0"/>
          <w:numId w:val="1003"/>
        </w:numPr>
        <w:pStyle w:val="Compact"/>
      </w:pPr>
      <w:r>
        <w:t xml:space="preserve">Exploración de riesgos técnicos de las arquitecturas de referencia</w:t>
      </w:r>
    </w:p>
    <w:p>
      <w:pPr>
        <w:numPr>
          <w:ilvl w:val="0"/>
          <w:numId w:val="1003"/>
        </w:numPr>
        <w:pStyle w:val="Compact"/>
      </w:pPr>
      <w:r>
        <w:t xml:space="preserve">Descomposición del trabajo</w:t>
      </w:r>
    </w:p>
    <w:p>
      <w:pPr>
        <w:numPr>
          <w:ilvl w:val="0"/>
          <w:numId w:val="1003"/>
        </w:numPr>
        <w:pStyle w:val="Compact"/>
      </w:pPr>
      <w:r>
        <w:t xml:space="preserve">Organización de elementos y modelamiento</w:t>
      </w:r>
    </w:p>
    <w:p>
      <w:pPr>
        <w:numPr>
          <w:ilvl w:val="0"/>
          <w:numId w:val="1003"/>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0"/>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hyperlink" Id="rId20" Target="../../fna-dd-f2-e1/content/02n.2b.flujooficarq.md" TargetMode="External" /></Relationships>
</file>

<file path=word/_rels/footnotes.xml.rels><?xml version="1.0" encoding="UTF-8"?><Relationships xmlns="http://schemas.openxmlformats.org/package/2006/relationships"><Relationship Type="http://schemas.openxmlformats.org/officeDocument/2006/relationships/hyperlink" Id="rId20" Target="../../fna-dd-f2-e1/content/02n.2b.flujooficarq.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2023-08-09T11:09:27Z</dcterms:created>
  <dcterms:modified xsi:type="dcterms:W3CDTF">2023-08-09T11:09:27Z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