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1.844c9c1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de mantenimiento de arquitecturas de referencia del FNA. Esto es,</w:t>
      </w:r>
    </w:p>
    <w:p>
      <w:pPr>
        <w:pStyle w:val="Textoindependiente"/>
      </w:pPr>
    </w:p>
    <w:bookmarkEnd w:id="22"/>
    <w:bookmarkStart w:id="27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6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del modelo de gobierno, versión 0.5.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Solicitar y revisar contenidos emitidos por la oficina de arquitectura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Ejecutar el flujo de trabajo de la oficina de arquitectura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Evaluar el apego al flujo de trabajo por parte de los arquitectos involucrados con la oficina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 (ver tabla</w:t>
            </w:r>
            <w:r>
              <w:t xml:space="preserve"> </w:t>
            </w:r>
            <w:r>
              <w:t xml:space="preserve">[</w:t>
            </w:r>
            <w:hyperlink w:anchor="ref-tabl:accexigidos-id">
              <w:r>
                <w:rPr>
                  <w:rStyle w:val="Hipervnculo"/>
                  <w:bCs/>
                  <w:b/>
                </w:rPr>
                <w:t xml:space="preserve">tabl:accexigidos-id?</w:t>
              </w:r>
            </w:hyperlink>
            <w:r>
              <w:t xml:space="preserve">]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Ejecutar el flujo de trabajo de la oficina de arquitectura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productos de trabajo exigidos por el gobierno SOA del FNA (ver tabla</w:t>
            </w:r>
            <w:r>
              <w:t xml:space="preserve"> </w:t>
            </w:r>
            <w:hyperlink w:anchor="tbl:ptexigidos-id">
              <w:r>
                <w:rPr>
                  <w:rStyle w:val="Hipervnculo"/>
                </w:rPr>
                <w:t xml:space="preserve">2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 (ver tabla</w:t>
            </w:r>
            <w:r>
              <w:t xml:space="preserve"> </w:t>
            </w:r>
            <w:r>
              <w:t xml:space="preserve">[</w:t>
            </w:r>
            <w:hyperlink w:anchor="ref-tabl:accexigidos-id">
              <w:r>
                <w:rPr>
                  <w:rStyle w:val="Hipervnculo"/>
                  <w:bCs/>
                  <w:b/>
                </w:rPr>
                <w:t xml:space="preserve">tabl:accexigidos-id?</w:t>
              </w:r>
            </w:hyperlink>
            <w:r>
              <w:t xml:space="preserve">]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Implementar los diseños provistos por la oficina de arquitectura del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GOB01. Colaboración entre Oficinas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Elaborar los registros de colaboración entre oficinas exigidos por el gobierno</w:t>
            </w:r>
          </w:p>
        </w:tc>
      </w:tr>
    </w:tbl>
    <w:bookmarkEnd w:id="23"/>
    <w:bookmarkEnd w:id="0"/>
    <w:p>
      <w:pPr>
        <w:pStyle w:val="Textoindependiente"/>
      </w:pPr>
    </w:p>
    <w:bookmarkStart w:id="0" w:name="tbl:ptexigidos-id"/>
    <w:bookmarkStart w:id="24" w:name="tbl:ptexigidos-id"/>
    <w:p>
      <w:pPr>
        <w:pStyle w:val="TableCaption"/>
      </w:pPr>
      <w:r>
        <w:t xml:space="preserve">Table 2: Productos de trabajo exigidos por el Gobierno SOA.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Productos de trabajo exigidos por el Gobierno SOA.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Productos de trabajo exigidos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Caso Uso de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Inversión 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Requerimiento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</w:tr>
    </w:tbl>
    <w:bookmarkEnd w:id="24"/>
    <w:bookmarkEnd w:id="0"/>
    <w:bookmarkStart w:id="0" w:name="tbl:accexigidos-id"/>
    <w:bookmarkStart w:id="25" w:name="tbl:accexigidos-id"/>
    <w:p>
      <w:pPr>
        <w:pStyle w:val="TableCaption"/>
      </w:pPr>
      <w:r>
        <w:t xml:space="preserve">Table 3: Tareas de análisis exigidas a los arquitectos de la oficina (Gobierno SOA).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: Tareas de análisis exigidas a los arquitectos de la oficina (Gobierno SOA).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Actividades de análisis exigidas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ALS01. Complejidad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ALS02. 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ALS03. Costo / Beneficio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ALS04. Específicos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</w:tbl>
    <w:bookmarkEnd w:id="25"/>
    <w:bookmarkEnd w:id="0"/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2023-07-26T21:01:33Z</dcterms:created>
  <dcterms:modified xsi:type="dcterms:W3CDTF">2023-07-26T21:01:33Z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