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27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1.306caa6</w:t>
      </w:r>
    </w:p>
    <w:p>
      <w:pPr>
        <w:pStyle w:val="FirstParagraph"/>
      </w:pPr>
    </w:p>
    <w:bookmarkStart w:id="28" w:name="producto-12-pr12."/>
    <w:p>
      <w:pPr>
        <w:pStyle w:val="Ttulo1"/>
      </w:pPr>
      <w:r>
        <w:t xml:space="preserve">Producto 12: PR12.</w:t>
      </w:r>
    </w:p>
    <w:p>
      <w:pPr>
        <w:pStyle w:val="FirstParagraph"/>
      </w:pPr>
      <w:r>
        <w:t xml:space="preserve">La arquitectura de referencia SOA 2.0 del FNA, objeto de este proyecto, la forman las estructuras e integraciones entre datos, productos y servicios SOA. Virtus de esto,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del proyecto define la línea base de la arquitectura de referencia 2.0 del FNA, necesaria para dirigir el desarrollo de los servicios SOA del FNA hacia diseños y tecnologías determinadas en este plano de referencia (como microservicios, REST, API, infraestructura Nube, etc.) y favorece la adopción del</w:t>
      </w:r>
      <w:r>
        <w:t xml:space="preserve"> </w:t>
      </w:r>
      <w:r>
        <w:rPr>
          <w:iCs/>
          <w:i/>
        </w:rPr>
        <w:t xml:space="preserve">estilo de arquitectura orientado a eventos</w:t>
      </w:r>
      <w:r>
        <w:t xml:space="preserve"> </w:t>
      </w:r>
      <w:r>
        <w:t xml:space="preserve">para atender las funcionalidades y necesidades de negocio, que para este proyecto son prioridad la vicepresidencia de operaciones y la vicepresidencia de crédito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aplicaciones del FNA, y en concordancia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b5730879-6136-4827-a839-ad7abac71533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2023-07-27T12:06:41Z</dcterms:created>
  <dcterms:modified xsi:type="dcterms:W3CDTF">2023-07-27T12:06:41Z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