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27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1.8fd55ab</w:t>
      </w:r>
    </w:p>
    <w:p>
      <w:pPr>
        <w:pStyle w:val="FirstParagraph"/>
      </w:pPr>
    </w:p>
    <w:bookmarkStart w:id="28" w:name="producto-12-pr12."/>
    <w:p>
      <w:pPr>
        <w:pStyle w:val="Ttulo1"/>
      </w:pPr>
      <w:r>
        <w:t xml:space="preserve">Producto 12: PR12.</w:t>
      </w:r>
    </w:p>
    <w:p>
      <w:pPr>
        <w:pStyle w:val="FirstParagraph"/>
      </w:pPr>
      <w:r>
        <w:t xml:space="preserve">La arquitectura de referencia SOA 2.0 del FNA, objeto de este proyecto, la forman las estructuras e integraciones entre datos, productos y servicios SOA. Virtus de esto,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del proyecto define la línea base de la arquitectura de referencia 2.0 del FNA, necesaria para dirigir el desarrollo de los servicios SOA del FNA hacia diseños y tecnologías determinadas en este plano de referencia (como microservicios, REST, API, infraestructura Nube, etc.) y favorece la adopción del</w:t>
      </w:r>
      <w:r>
        <w:t xml:space="preserve"> </w:t>
      </w:r>
      <w:r>
        <w:rPr>
          <w:iCs/>
          <w:i/>
        </w:rPr>
        <w:t xml:space="preserve">estilo de arquitectura orientado a eventos</w:t>
      </w:r>
      <w:r>
        <w:t xml:space="preserve"> </w:t>
      </w:r>
      <w:r>
        <w:t xml:space="preserve">para atender las funcionalidades y necesidades de negocio, que para este proyecto son prioridad la vicepresidencia de operaciones y la vicepresidencia de crédito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 de Referencia SOA 2.0 del Fondo Nacional del Ahorro (PR12), que incorpora las problemáticas de gobierno SOA a partir de las que se plantea este producto, busca la prevalencia, el fortalecimiento y la optimización de las arquitecturas de servicios SOA relacionadas con las aplicaciones del FNA, y en concordancia con los análisis realizados en la Fase I, E-Service (2022). Esta permitirá, una vez modelada la arquitectura de objeto de referencia de este proyecto, realizando las operaciones requeridas por el proyecto Gobierno SOA del FNA (PRY01, E-Service Fase II) a los segmentos y componentes base, principios, metodologías, estándares, lineamientos y tecnologías.</w:t>
      </w:r>
    </w:p>
    <w:p>
      <w:pPr>
        <w:pStyle w:val="Textoindependiente"/>
      </w:pPr>
      <w:r>
        <w:t xml:space="preserve">La Arquitecturas de referencias 2.0 es la responsable de definir y evolucionar las arquitecturas de solución tecnológica del FNA, y su propósito es orientar el diseño de las soluciones delimitando e introduciendo restricciones positivas en cuanto a parámetros, patrones y atributos de calidad. Además, es un instrumento de control para hacer cumplir los principios de diseño de servicios SOA del FNA y del Manual de Gobierno.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Diseño y representación de la Arquitectura de Referencia 2.0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implementar la arquitectura de referencia</w:t>
      </w:r>
    </w:p>
    <w:p>
      <w:pPr>
        <w:numPr>
          <w:ilvl w:val="0"/>
          <w:numId w:val="1001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1"/>
        </w:numPr>
        <w:pStyle w:val="Compact"/>
      </w:pPr>
      <w:r>
        <w:t xml:space="preserve">Documentación técnica 0.1 de la Arquitectura de Referencia 2.0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2"/>
        </w:numPr>
        <w:pStyle w:val="Compact"/>
      </w:pPr>
      <w:r>
        <w:t xml:space="preserve">Validación de la Arquitectura de Referencia 2.0 del FNA [- Plantilla</w:t>
      </w:r>
      <w:r>
        <w:t xml:space="preserve"> </w:t>
      </w:r>
      <w:r>
        <w:t xml:space="preserve">“</w:t>
      </w:r>
      <w:r>
        <w:t xml:space="preserve">Gestión y Gobierno Arquitectura Empresarial (Mega Hopex) MIPG, MRAE, Marco Transformación Digital, TOGAF</w:t>
      </w:r>
      <w:r>
        <w:t xml:space="preserve">”</w:t>
      </w:r>
      <w:r>
        <w:t xml:space="preserve">]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2339d9d0-356e-4ee6-8cbe-23a6b6639b20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2023-07-27T11:54:30Z</dcterms:created>
  <dcterms:modified xsi:type="dcterms:W3CDTF">2023-07-27T11:54:30Z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