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 dominios, servicios, aplicaciones, datos,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1.cf577ab</w:t>
            </w:r>
            <w:r>
              <w:t xml:space="preserve"> </w:t>
            </w:r>
            <w:r>
              <w:t xml:space="preserve">del 26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40" w:name="X0c22a6e9471d1c9bed61015b27dcafe60558f61"/>
    <w:p>
      <w:pPr>
        <w:pStyle w:val="Ttulo1"/>
      </w:pPr>
      <w:r>
        <w:t xml:space="preserve">Diseño y Representación de las Arquitecturas de Referencia 2.0 del FNA</w:t>
      </w:r>
    </w:p>
    <w:p>
      <w:pPr>
        <w:pStyle w:val="FirstParagraph"/>
      </w:pPr>
      <w:r>
        <w:t xml:space="preserve">Partimos de la representación de la vista general actual de la arquitectura del FNA y que implica a las problemáticas diagnosticadas en Fase I</w:t>
      </w:r>
      <w:r>
        <w:t xml:space="preserve"> 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. Sobre este plano realizaremos luego las propuestas de nuevas arquitecturas respecto a la actual dirigidas a enfrentar dichas problemáticas allí planteadas, y que se resumen en las siguientes.</w:t>
      </w:r>
    </w:p>
    <w:p>
      <w:pPr>
        <w:numPr>
          <w:ilvl w:val="0"/>
          <w:numId w:val="1001"/>
        </w:numPr>
        <w:pStyle w:val="Compact"/>
      </w:pPr>
      <w:r>
        <w:t xml:space="preserve">Dependencia de proveedor (OBJ1)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Tiempo de mercado (OBJ3)</w:t>
      </w:r>
    </w:p>
    <w:p>
      <w:pPr>
        <w:pStyle w:val="FirstParagraph"/>
      </w:pPr>
      <w:r>
        <w:rPr>
          <w:iCs/>
          <w:i/>
        </w:rPr>
        <w:t xml:space="preserve">Fuente: E-Service, Fase I (2022).</w:t>
      </w:r>
    </w:p>
    <w:bookmarkStart w:id="29" w:name="dominio-de-servicios-y-aplicaciones-fna"/>
    <w:p>
      <w:pPr>
        <w:pStyle w:val="Ttulo2"/>
      </w:pPr>
      <w:r>
        <w:t xml:space="preserve">Dominio de Servicios y Aplicaciones FNA</w:t>
      </w:r>
    </w:p>
    <w:bookmarkStart w:id="23" w:name="plano-general-actual"/>
    <w:p>
      <w:pPr>
        <w:pStyle w:val="Ttulo3"/>
      </w:pPr>
      <w:r>
        <w:t xml:space="preserve">Plano General Actual</w:t>
      </w:r>
    </w:p>
    <w:p>
      <w:pPr>
        <w:pStyle w:val="FirstParagraph"/>
      </w:pPr>
      <w:r>
        <w:t xml:space="preserve">El propósito de traer como referencia el plano actual de arquitectura del FNA es recordar dicho esquema para poderlo comparar con la arquitectura propuesta.</w:t>
      </w:r>
    </w:p>
    <w:bookmarkStart w:id="0" w:name="fig:76ebb908-8f4b-4d4a-9361-d73f18ff6377"/>
    <w:p>
      <w:pPr>
        <w:pStyle w:val="Textoindependiente"/>
      </w:pPr>
      <w:bookmarkStart w:id="22" w:name="fig:"/>
      <w:r>
        <w:t xml:space="preserve">Figure 1: Fondo Nacional del Ahorro - Vista general de arquitectura actual</w:t>
      </w:r>
      <w:bookmarkEnd w:id="22"/>
    </w:p>
    <w:bookmarkEnd w:id="0"/>
    <w:p>
      <w:pPr>
        <w:pStyle w:val="Textoindependiente"/>
      </w:pPr>
    </w:p>
    <w:bookmarkEnd w:id="23"/>
    <w:bookmarkStart w:id="28" w:name="plano-general-objetivo"/>
    <w:p>
      <w:pPr>
        <w:pStyle w:val="Ttulo3"/>
      </w:pPr>
      <w:r>
        <w:t xml:space="preserve">Plano General Objetivo</w:t>
      </w:r>
    </w:p>
    <w:p>
      <w:pPr>
        <w:pStyle w:val="FirstParagraph"/>
      </w:pPr>
      <w:r>
        <w:t xml:space="preserve">Presentamos la arquitectura de referencia propuesta dividida en dos niveles de detalle.</w:t>
      </w:r>
    </w:p>
    <w:bookmarkStart w:id="25" w:name="nivel-de-detalle-1"/>
    <w:p>
      <w:pPr>
        <w:pStyle w:val="Ttulo4"/>
      </w:pPr>
      <w:r>
        <w:t xml:space="preserve">Nivel de detalle 1</w:t>
      </w:r>
    </w:p>
    <w:bookmarkStart w:id="0" w:name="fig:1ae74df3-182b-4e59-9e86-a243dad75d6b"/>
    <w:p>
      <w:pPr>
        <w:pStyle w:val="FirstParagraph"/>
      </w:pPr>
      <w:bookmarkStart w:id="24" w:name="fig:"/>
      <w:r>
        <w:t xml:space="preserve">Figure 2: Fondo Nacional del Ahorro - Vista general de arquitectura de referencia. N1</w:t>
      </w:r>
      <w:bookmarkEnd w:id="24"/>
    </w:p>
    <w:bookmarkEnd w:id="0"/>
    <w:p>
      <w:pPr>
        <w:pStyle w:val="Textoindependiente"/>
      </w:pPr>
    </w:p>
    <w:bookmarkEnd w:id="25"/>
    <w:bookmarkStart w:id="27" w:name="nivel-de-detalle-2"/>
    <w:p>
      <w:pPr>
        <w:pStyle w:val="Ttulo4"/>
      </w:pPr>
      <w:r>
        <w:t xml:space="preserve">Nivel de detalle 2</w:t>
      </w:r>
    </w:p>
    <w:bookmarkStart w:id="0" w:name="fig:78c53f1a-43dd-4e24-8888-84769598e654"/>
    <w:p>
      <w:pPr>
        <w:pStyle w:val="FirstParagraph"/>
      </w:pPr>
      <w:bookmarkStart w:id="26" w:name="fig:"/>
      <w:r>
        <w:t xml:space="preserve">Figure 3: Fondo Nacional del Ahorro - Vista general de arquitectura de referencia. N1</w:t>
      </w:r>
      <w:bookmarkEnd w:id="26"/>
    </w:p>
    <w:bookmarkEnd w:id="0"/>
    <w:p>
      <w:pPr>
        <w:pStyle w:val="Textoindependiente"/>
      </w:pPr>
    </w:p>
    <w:bookmarkEnd w:id="27"/>
    <w:bookmarkEnd w:id="28"/>
    <w:bookmarkEnd w:id="29"/>
    <w:bookmarkStart w:id="36" w:name="dominio-de-datos-fna"/>
    <w:p>
      <w:pPr>
        <w:pStyle w:val="Ttulo2"/>
      </w:pPr>
      <w:r>
        <w:t xml:space="preserve">Dominio de Datos FNA</w:t>
      </w:r>
    </w:p>
    <w:p>
      <w:pPr>
        <w:pStyle w:val="FirstParagraph"/>
      </w:pPr>
      <w:r>
        <w:t xml:space="preserve">Para la arquitectura SOA objetivo se propone un enfoque conocido como malla de datos. Este paradigma permite pensar en los datos como productos: disponibles y gestionados para su consumo como un producto. La malla de datos introduce cambios organizativos y de procesos que el Fondo Nacional necesitará para gestionar los datos como un activo de capital tangible del negocio.</w:t>
      </w:r>
    </w:p>
    <w:p>
      <w:pPr>
        <w:pStyle w:val="Textoindependiente"/>
      </w:pPr>
      <w:r>
        <w:t xml:space="preserve">Una malla de datos tiene como principal objetivo que estos sean más accesibles y estén disponibles para los usuarios, conectando directamente a propietarios, los productores y los consumidores de datos. La malla de datos trae beneficios como la mejora de los resultados empresariales de las soluciones centradas en los datos, y también impulsa la adopción de arquitecturas de datos modernas.</w:t>
      </w:r>
    </w:p>
    <w:bookmarkStart w:id="31" w:name="pilares-de-la-malla-de-datos-data-mesh"/>
    <w:p>
      <w:pPr>
        <w:pStyle w:val="Ttulo3"/>
      </w:pPr>
      <w:r>
        <w:t xml:space="preserve">Pilares de la Malla de Datos (data mesh)</w:t>
      </w:r>
    </w:p>
    <w:bookmarkStart w:id="0" w:name="fig:dae8bb80-3e68-4ba2-adfb-b498c34ce764"/>
    <w:p>
      <w:pPr>
        <w:pStyle w:val="FirstParagraph"/>
      </w:pPr>
      <w:bookmarkStart w:id="30" w:name="fig:"/>
      <w:r>
        <w:t xml:space="preserve">Figure 4: Malla de datos para el FNA</w:t>
      </w:r>
      <w:bookmarkEnd w:id="30"/>
    </w:p>
    <w:bookmarkEnd w:id="0"/>
    <w:bookmarkEnd w:id="31"/>
    <w:bookmarkStart w:id="34" w:name="plano-de-datos-objetivo-data-mesh"/>
    <w:p>
      <w:pPr>
        <w:pStyle w:val="Ttulo3"/>
      </w:pPr>
      <w:r>
        <w:t xml:space="preserve">Plano de Datos Objetivo (data mesh)</w:t>
      </w:r>
    </w:p>
    <w:p>
      <w:pPr>
        <w:pStyle w:val="FirstParagraph"/>
      </w:pPr>
      <w:r>
        <w:t xml:space="preserve">El desarrollo de la arquitectura candidata de información integrará los marcos de referencia TOGAF, el marco de referencia DAMA y las disposiciones de la política de gobierno digital, en particular las</w:t>
      </w:r>
      <w:r>
        <w:t xml:space="preserve"> </w:t>
      </w:r>
      <w:r>
        <w:t xml:space="preserve">especificadas por el Marco de Referencia de Arquitectura Empresarial para entidades del Estado Colombiano - MRAE para orientar la evaluación del estado actual y la definición del estado deseado integrando</w:t>
      </w:r>
      <w:r>
        <w:t xml:space="preserve"> </w:t>
      </w:r>
      <w:r>
        <w:t xml:space="preserve">capacidades para el gobierno de datos, arquitectura de datos, diseño y modelamiento de datos, operaciones y almacenamiento de datos, seguridad de datos, interoperabilidad e integración de datos, gestión documental y contenido, datos maestros y de referencia, inteligencia de negocios y analítica, metadatos y calidad de datos.</w:t>
      </w:r>
    </w:p>
    <w:bookmarkStart w:id="0" w:name="fig:affcad5e-5264-4d65-941c-a187eaadcacb"/>
    <w:p>
      <w:pPr>
        <w:pStyle w:val="Textoindependiente"/>
      </w:pPr>
      <w:bookmarkStart w:id="32" w:name="fig:"/>
      <w:r>
        <w:t xml:space="preserve">Figure 5: Plano de Datos Objetivo del FNA</w:t>
      </w:r>
      <w:bookmarkEnd w:id="32"/>
    </w:p>
    <w:bookmarkEnd w:id="0"/>
    <w:p>
      <w:pPr>
        <w:pStyle w:val="Textoindependiente"/>
      </w:pPr>
      <w:r>
        <w:t xml:space="preserve">La Ilustración a continuación muestra los marcos de referencia aplicables al dominio de Información:</w:t>
      </w:r>
    </w:p>
    <w:bookmarkStart w:id="0" w:name="fig:13072113-5bc9-4a71-9a1b-5442ca1a6bd1"/>
    <w:p>
      <w:pPr>
        <w:pStyle w:val="Textoindependiente"/>
      </w:pPr>
      <w:bookmarkStart w:id="33" w:name="fig:"/>
      <w:r>
        <w:t xml:space="preserve">Figure 6: Marcos de referencia aplicables a la arquitectura de información</w:t>
      </w:r>
      <w:bookmarkEnd w:id="33"/>
    </w:p>
    <w:bookmarkEnd w:id="0"/>
    <w:bookmarkEnd w:id="34"/>
    <w:bookmarkStart w:id="35" w:name="Xd22805d3d931ff6424a9ccb7ae781c8ab09e397"/>
    <w:p>
      <w:pPr>
        <w:pStyle w:val="Ttulo3"/>
      </w:pPr>
      <w:r>
        <w:t xml:space="preserve">Características Principales de la Arquitectura de Datos 2.0 del FNA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su propiedad a las manos de los equipos de dominio del FNA, es decir a las vicepresidencias y sus departamentos y unidades de negocio. Ellos serán los dueños de los datos de un extremo a otro, y podrán asegurarse de tener desde las fuentes correctas hasta los procesamientos necesarios y la entrega de los datos para que otros equipos de dominio los aprovechen como productos.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 datos y también de los productos de datos resultantes. El objetivo es 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 consumidores y otros equipos de dominio, y el propietario del dominio es responsable de mantener y actualizar (o desaprobar) estos productos para 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autoservicio es la tendencia a dejar las tecnologías complejas y las</w:t>
      </w:r>
      <w:r>
        <w:t xml:space="preserve"> </w:t>
      </w:r>
      <w:r>
        <w:t xml:space="preserve">habilidades de nicho. El Data mesh se basa, por principio, en una gestión de datos mediante una plataforma común y un conjunto de 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debemos eliminar controles de acceso necesitamos un equilibrio entre las políticas y controles de gobernanza global y la posibilidad de dominio y creación de productos. Esto es lo que llamamos gobernanza federada, y en la práctica es fundamental para garantizar la privacidad, el cumplimiento y la posibilidad de escalar.</w:t>
      </w:r>
    </w:p>
    <w:bookmarkEnd w:id="35"/>
    <w:bookmarkEnd w:id="36"/>
    <w:bookmarkStart w:id="39" w:name="dominio-de-infraestructura-fna"/>
    <w:p>
      <w:pPr>
        <w:pStyle w:val="Ttulo2"/>
      </w:pPr>
      <w:r>
        <w:t xml:space="preserve">Dominio de Infraestructura FNA</w:t>
      </w:r>
    </w:p>
    <w:p>
      <w:pPr>
        <w:pStyle w:val="FirstParagraph"/>
      </w:pPr>
      <w:r>
        <w:t xml:space="preserve">Para la arquitectura SOA objetivo se propone un enfoque de computación en la nube donde se hace uso de componentes IaaS y PaaS. Dentro de la oferta actual de componentes se pueden encontrar soluciones que permiten garantizar escalabilidad, disponibilidad, cumplimiento regulatorio y menores tiempos de salida al mercado.</w:t>
      </w:r>
    </w:p>
    <w:p>
      <w:pPr>
        <w:pStyle w:val="Textoindependiente"/>
      </w:pPr>
    </w:p>
    <w:bookmarkStart w:id="37" w:name="arquitectura-objetivo"/>
    <w:p>
      <w:pPr>
        <w:pStyle w:val="Ttulo3"/>
      </w:pPr>
      <w:r>
        <w:t xml:space="preserve">Arquitectura Objetivo</w:t>
      </w:r>
    </w:p>
    <w:p>
      <w:pPr>
        <w:pStyle w:val="FirstParagraph"/>
      </w:pPr>
    </w:p>
    <w:p>
      <w:pPr>
        <w:pStyle w:val="Textoindependiente"/>
      </w:pPr>
    </w:p>
    <w:bookmarkEnd w:id="37"/>
    <w:bookmarkStart w:id="38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Arquitectura sin servidor para la interfaz web</w:t>
      </w:r>
      <w:r>
        <w:t xml:space="preserve">: Distribución de contenidos con baja latencia y altas velocidades de transferencia usando CDN hospedando el contenido estático de la aplicación en un servicio de almacenamiento de objetos, eliminando la necesidad de utilizar servidores en esta capa.</w:t>
      </w:r>
    </w:p>
    <w:p>
      <w:pPr>
        <w:pStyle w:val="Textoindependiente"/>
      </w:pPr>
      <w:r>
        <w:rPr>
          <w:bCs/>
          <w:b/>
        </w:rPr>
        <w:t xml:space="preserve">Enfoque de microservicios</w:t>
      </w:r>
      <w:r>
        <w:t xml:space="preserve">: Permite obtener capacidad de cómputo particular según sea requerido para soportar la carga.</w:t>
      </w:r>
    </w:p>
    <w:p>
      <w:pPr>
        <w:pStyle w:val="Textoindependiente"/>
      </w:pPr>
      <w:r>
        <w:rPr>
          <w:bCs/>
          <w:b/>
        </w:rPr>
        <w:t xml:space="preserve">Exposición de la funcionalidad de negocio a través de API Gateway</w:t>
      </w:r>
      <w:r>
        <w:t xml:space="preserve">: Entrega las solicitudes a los microservicios, habilitando la gestión de API para establecer modelos de Calidad en el Servicio (QoS) y controlando la autenticación y autorización.</w:t>
      </w:r>
    </w:p>
    <w:p>
      <w:pPr>
        <w:pStyle w:val="Textoindependiente"/>
      </w:pPr>
      <w:r>
        <w:rPr>
          <w:bCs/>
          <w:b/>
        </w:rPr>
        <w:t xml:space="preserve">Orquestación de contenedores</w:t>
      </w:r>
      <w:r>
        <w:t xml:space="preserve">: Los administradores de Kubernetes permiten automatizar tareas clave como los parches, el aprovisionamiento de nodos y las actualizaciones. El gestor de Kubernetes por lo general permite gestionar dinámicamente la creación o terminación de nodos y contenedores en base a la demanda.</w:t>
      </w:r>
    </w:p>
    <w:p>
      <w:pPr>
        <w:pStyle w:val="Textoindependiente"/>
      </w:pPr>
      <w:r>
        <w:rPr>
          <w:bCs/>
          <w:b/>
        </w:rPr>
        <w:t xml:space="preserve">Service mesh</w:t>
      </w:r>
      <w:r>
        <w:t xml:space="preserve">: Permite distribuir la carga proveniente de API Gateway, obteniendo mayor visibilidad y controles uniformes del tráfico de red.</w:t>
      </w:r>
    </w:p>
    <w:p>
      <w:pPr>
        <w:pStyle w:val="Textoindependiente"/>
      </w:pPr>
      <w:r>
        <w:rPr>
          <w:bCs/>
          <w:b/>
        </w:rPr>
        <w:t xml:space="preserve">Servicios administrados</w:t>
      </w:r>
      <w:r>
        <w:t xml:space="preserve">: Se aprovechan para elementos tales como la gestión de cache y bases de datos (relaciones y no relacionales). Con esto se evitan tareas administrativas, como el aprovisionamiento de hardware, parches de software, configuración, ajustes, recuperación de fallos y backups.</w:t>
      </w:r>
    </w:p>
    <w:p>
      <w:pPr>
        <w:pStyle w:val="Textoindependiente"/>
      </w:pPr>
      <w:r>
        <w:rPr>
          <w:bCs/>
          <w:b/>
        </w:rPr>
        <w:t xml:space="preserve">Integración de sistemas</w:t>
      </w:r>
      <w:r>
        <w:t xml:space="preserve">: A través de un enlace Virtual Private Network (VPN) La funcionalidad se expone a través del Bus de Servicios, habilitando un modelo híbrido de aplicaciones nativas de nube y al mismo tiempo de arquitectura orientada a servicios (SOA).</w:t>
      </w:r>
    </w:p>
    <w:bookmarkEnd w:id="38"/>
    <w:bookmarkEnd w:id="39"/>
    <w:bookmarkEnd w:id="4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2023-07-26T19:31:20Z</dcterms:created>
  <dcterms:modified xsi:type="dcterms:W3CDTF">2023-07-26T19:31:20Z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