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5.png" ContentType="image/png"/>
  <Override PartName="/word/media/rId27.png" ContentType="image/png"/>
  <Override PartName="/word/media/rId22.png" ContentType="image/png"/>
  <Override PartName="/word/media/rId32.png" ContentType="image/png"/>
  <Override PartName="/word/media/rId39.png" ContentType="image/png"/>
  <Override PartName="/word/media/rId44.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1.b5d67e5</w:t>
            </w:r>
            <w:r>
              <w:t xml:space="preserve"> </w:t>
            </w:r>
            <w:r>
              <w:t xml:space="preserve">del 29 Jul 2023</w:t>
            </w:r>
          </w:p>
        </w:tc>
      </w:tr>
      <w:tr>
        <w:tc>
          <w:tcPr/>
          <w:p>
            <w:pPr>
              <w:pStyle w:val="Compact"/>
              <w:jc w:val="left"/>
            </w:pPr>
            <w:r>
              <w:t xml:space="preserve">Vínculos</w:t>
            </w:r>
          </w:p>
        </w:tc>
        <w:tc>
          <w:tcPr/>
          <w:p>
            <w:pPr>
              <w:pStyle w:val="Compact"/>
              <w:jc w:val="left"/>
            </w:pPr>
            <w:hyperlink r:id="rId20">
              <w:r>
                <w:rPr>
                  <w:rStyle w:val="Hipervnculo"/>
                </w:rPr>
                <w:t xml:space="preserve">Ejecución Plan de Trabajo SOA</w:t>
              </w:r>
            </w:hyperlink>
            <w:r>
              <w:t xml:space="preserve">;</w:t>
            </w:r>
            <w:r>
              <w:t xml:space="preserve"> </w:t>
            </w:r>
            <w:hyperlink r:id="rId21">
              <w:r>
                <w:rPr>
                  <w:rStyle w:val="Hipervnculo"/>
                </w:rPr>
                <w:t xml:space="preserve">Procesos de Negocio FNA</w:t>
              </w:r>
            </w:hyperlink>
          </w:p>
        </w:tc>
      </w:tr>
    </w:tbl>
    <w:p>
      <w:pPr>
        <w:pStyle w:val="Textoindependiente"/>
      </w:pPr>
    </w:p>
    <w:bookmarkStart w:id="6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01"/>
        </w:numPr>
        <w:pStyle w:val="Compact"/>
      </w:pPr>
      <w:r>
        <w:t xml:space="preserve">Dependencia de proveedor (OBJ1)</w:t>
      </w:r>
    </w:p>
    <w:p>
      <w:pPr>
        <w:numPr>
          <w:ilvl w:val="0"/>
          <w:numId w:val="1001"/>
        </w:numPr>
        <w:pStyle w:val="Compact"/>
      </w:pPr>
      <w:r>
        <w:t xml:space="preserve">Fortaleza SOA de las aplicaciones (OBJ2)</w:t>
      </w:r>
    </w:p>
    <w:p>
      <w:pPr>
        <w:numPr>
          <w:ilvl w:val="0"/>
          <w:numId w:val="1001"/>
        </w:numPr>
        <w:pStyle w:val="Compact"/>
      </w:pPr>
      <w:r>
        <w:t xml:space="preserve">Tiempo de mercado (OBJ3)</w:t>
      </w:r>
    </w:p>
    <w:p>
      <w:pPr>
        <w:pStyle w:val="FirstParagraph"/>
      </w:pPr>
      <w:r>
        <w:rPr>
          <w:iCs/>
          <w:i/>
        </w:rPr>
        <w:t xml:space="preserve">Fuente: E-Service, Fase I (2022).</w:t>
      </w:r>
    </w:p>
    <w:bookmarkStart w:id="38" w:name="dominio-de-servicios-y-aplicaciones-fna"/>
    <w:p>
      <w:pPr>
        <w:pStyle w:val="Ttulo2"/>
      </w:pPr>
      <w:r>
        <w:t xml:space="preserve">Dominio de Servicios y Aplicaciones FNA</w:t>
      </w:r>
    </w:p>
    <w:bookmarkStart w:id="2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6ee0cf93-366e-4c65-8e75-40d70d0c0f91"/>
    <w:p>
      <w:pPr>
        <w:pStyle w:val="CaptionedFigure"/>
      </w:pPr>
      <w:bookmarkStart w:id="25" w:name="fig:"/>
      <w:r>
        <w:drawing>
          <wp:inline>
            <wp:extent cx="5600700" cy="3267074"/>
            <wp:effectExtent b="0" l="0" r="0" t="0"/>
            <wp:docPr descr="Figure 1: Fondo Nacional del Ahorro - Vista general de arquitectura actual" title="" id="23" name="Picture"/>
            <a:graphic>
              <a:graphicData uri="http://schemas.openxmlformats.org/drawingml/2006/picture">
                <pic:pic>
                  <pic:nvPicPr>
                    <pic:cNvPr descr="images/arqimage1.png" id="24" name="Picture"/>
                    <pic:cNvPicPr>
                      <a:picLocks noChangeArrowheads="1" noChangeAspect="1"/>
                    </pic:cNvPicPr>
                  </pic:nvPicPr>
                  <pic:blipFill>
                    <a:blip r:embed="rId22"/>
                    <a:stretch>
                      <a:fillRect/>
                    </a:stretch>
                  </pic:blipFill>
                  <pic:spPr bwMode="auto">
                    <a:xfrm>
                      <a:off x="0" y="0"/>
                      <a:ext cx="5600700" cy="3267074"/>
                    </a:xfrm>
                    <a:prstGeom prst="rect">
                      <a:avLst/>
                    </a:prstGeom>
                    <a:noFill/>
                    <a:ln w="9525">
                      <a:noFill/>
                      <a:headEnd/>
                      <a:tailEnd/>
                    </a:ln>
                  </pic:spPr>
                </pic:pic>
              </a:graphicData>
            </a:graphic>
          </wp:inline>
        </w:drawing>
      </w:r>
      <w:bookmarkEnd w:id="25"/>
    </w:p>
    <w:p>
      <w:pPr>
        <w:pStyle w:val="ImageCaption"/>
      </w:pPr>
      <w:r>
        <w:t xml:space="preserve">Figure 1: Fondo Nacional del Ahorro - Vista general de arquitectura actual</w:t>
      </w:r>
    </w:p>
    <w:bookmarkEnd w:id="0"/>
    <w:p>
      <w:pPr>
        <w:pStyle w:val="Textoindependiente"/>
      </w:pPr>
    </w:p>
    <w:bookmarkEnd w:id="26"/>
    <w:bookmarkStart w:id="3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31"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7799065b-14ae-4275-8732-ee4e2b4c2974"/>
    <w:p>
      <w:pPr>
        <w:pStyle w:val="CaptionedFigure"/>
      </w:pPr>
      <w:bookmarkStart w:id="30" w:name="fig:"/>
      <w:r>
        <w:drawing>
          <wp:inline>
            <wp:extent cx="5600700" cy="3015761"/>
            <wp:effectExtent b="0" l="0" r="0" t="0"/>
            <wp:docPr descr="Figure 2: Fondo Nacional del Ahorro - Vista general de arquitectura de referencia. Nivel de detalle 1. Separación de segmentos de la arquitectura de referencia del FNA." title="" id="28" name="Picture"/>
            <a:graphic>
              <a:graphicData uri="http://schemas.openxmlformats.org/drawingml/2006/picture">
                <pic:pic>
                  <pic:nvPicPr>
                    <pic:cNvPr descr="images/arqimage1.1.png" id="29" name="Picture"/>
                    <pic:cNvPicPr>
                      <a:picLocks noChangeArrowheads="1" noChangeAspect="1"/>
                    </pic:cNvPicPr>
                  </pic:nvPicPr>
                  <pic:blipFill>
                    <a:blip r:embed="rId27"/>
                    <a:stretch>
                      <a:fillRect/>
                    </a:stretch>
                  </pic:blipFill>
                  <pic:spPr bwMode="auto">
                    <a:xfrm>
                      <a:off x="0" y="0"/>
                      <a:ext cx="5600700" cy="3015761"/>
                    </a:xfrm>
                    <a:prstGeom prst="rect">
                      <a:avLst/>
                    </a:prstGeom>
                    <a:noFill/>
                    <a:ln w="9525">
                      <a:noFill/>
                      <a:headEnd/>
                      <a:tailEnd/>
                    </a:ln>
                  </pic:spPr>
                </pic:pic>
              </a:graphicData>
            </a:graphic>
          </wp:inline>
        </w:drawing>
      </w:r>
      <w:bookmarkEnd w:id="30"/>
    </w:p>
    <w:p>
      <w:pPr>
        <w:pStyle w:val="ImageCaption"/>
      </w:pPr>
      <w:r>
        <w:t xml:space="preserve">Figure 2: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31"/>
    <w:bookmarkStart w:id="36"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35" w:name="fig:arqimage2.png"/>
      <w:r>
        <w:drawing>
          <wp:inline>
            <wp:extent cx="5600700" cy="3015761"/>
            <wp:effectExtent b="0" l="0" r="0" t="0"/>
            <wp:docPr descr="Figure 3: Fondo Nacional del Ahorro - Vista general de arquitectura de referencia. Nivel de detalle 2. Separación de subsegmentos de la arquitectura de referencia del FNA." title="" id="33" name="Picture"/>
            <a:graphic>
              <a:graphicData uri="http://schemas.openxmlformats.org/drawingml/2006/picture">
                <pic:pic>
                  <pic:nvPicPr>
                    <pic:cNvPr descr="images/arqimage2.png" id="34" name="Picture"/>
                    <pic:cNvPicPr>
                      <a:picLocks noChangeArrowheads="1" noChangeAspect="1"/>
                    </pic:cNvPicPr>
                  </pic:nvPicPr>
                  <pic:blipFill>
                    <a:blip r:embed="rId32"/>
                    <a:stretch>
                      <a:fillRect/>
                    </a:stretch>
                  </pic:blipFill>
                  <pic:spPr bwMode="auto">
                    <a:xfrm>
                      <a:off x="0" y="0"/>
                      <a:ext cx="5600700" cy="3015761"/>
                    </a:xfrm>
                    <a:prstGeom prst="rect">
                      <a:avLst/>
                    </a:prstGeom>
                    <a:noFill/>
                    <a:ln w="9525">
                      <a:noFill/>
                      <a:headEnd/>
                      <a:tailEnd/>
                    </a:ln>
                  </pic:spPr>
                </pic:pic>
              </a:graphicData>
            </a:graphic>
          </wp:inline>
        </w:drawing>
      </w:r>
      <w:bookmarkEnd w:id="35"/>
    </w:p>
    <w:p>
      <w:pPr>
        <w:pStyle w:val="ImageCaption"/>
      </w:pPr>
      <w:r>
        <w:t xml:space="preserve">Figure 3: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36"/>
    <w:bookmarkEnd w:id="37"/>
    <w:bookmarkEnd w:id="38"/>
    <w:bookmarkStart w:id="5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43" w:name="pilares-de-la-malla-de-datos-data-mesh"/>
    <w:p>
      <w:pPr>
        <w:pStyle w:val="Ttulo3"/>
      </w:pPr>
      <w:r>
        <w:t xml:space="preserve">Pilares de la Malla de Datos (data mesh)</w:t>
      </w:r>
    </w:p>
    <w:bookmarkStart w:id="0" w:name="fig:9912efcb-458c-4727-82a8-1ad3bfeb6787"/>
    <w:p>
      <w:pPr>
        <w:pStyle w:val="CaptionedFigure"/>
      </w:pPr>
      <w:bookmarkStart w:id="42" w:name="fig:"/>
      <w:r>
        <w:drawing>
          <wp:inline>
            <wp:extent cx="5486400" cy="2743200"/>
            <wp:effectExtent b="0" l="0" r="0" t="0"/>
            <wp:docPr descr="Figure 4: Malla de datos para el FNA" title="" id="40" name="Picture"/>
            <a:graphic>
              <a:graphicData uri="http://schemas.openxmlformats.org/drawingml/2006/picture">
                <pic:pic>
                  <pic:nvPicPr>
                    <pic:cNvPr descr="images/datimage1.png" id="41" name="Picture"/>
                    <pic:cNvPicPr>
                      <a:picLocks noChangeArrowheads="1" noChangeAspect="1"/>
                    </pic:cNvPicPr>
                  </pic:nvPicPr>
                  <pic:blipFill>
                    <a:blip r:embed="rId39"/>
                    <a:stretch>
                      <a:fillRect/>
                    </a:stretch>
                  </pic:blipFill>
                  <pic:spPr bwMode="auto">
                    <a:xfrm>
                      <a:off x="0" y="0"/>
                      <a:ext cx="5486400" cy="2743200"/>
                    </a:xfrm>
                    <a:prstGeom prst="rect">
                      <a:avLst/>
                    </a:prstGeom>
                    <a:noFill/>
                    <a:ln w="9525">
                      <a:noFill/>
                      <a:headEnd/>
                      <a:tailEnd/>
                    </a:ln>
                  </pic:spPr>
                </pic:pic>
              </a:graphicData>
            </a:graphic>
          </wp:inline>
        </w:drawing>
      </w:r>
      <w:bookmarkEnd w:id="42"/>
    </w:p>
    <w:p>
      <w:pPr>
        <w:pStyle w:val="ImageCaption"/>
      </w:pPr>
      <w:r>
        <w:t xml:space="preserve">Figure 4: Malla de datos para el FNA</w:t>
      </w:r>
    </w:p>
    <w:bookmarkEnd w:id="0"/>
    <w:bookmarkEnd w:id="43"/>
    <w:bookmarkStart w:id="5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e8da5a2d-348c-4031-9e02-e12a87d683b8"/>
    <w:p>
      <w:pPr>
        <w:pStyle w:val="CaptionedFigure"/>
      </w:pPr>
      <w:bookmarkStart w:id="47" w:name="fig:"/>
      <w:r>
        <w:drawing>
          <wp:inline>
            <wp:extent cx="5486400" cy="3200400"/>
            <wp:effectExtent b="0" l="0" r="0" t="0"/>
            <wp:docPr descr="Figure 5: Plano de Datos Objetivo del FNA" title="" id="45" name="Picture"/>
            <a:graphic>
              <a:graphicData uri="http://schemas.openxmlformats.org/drawingml/2006/picture">
                <pic:pic>
                  <pic:nvPicPr>
                    <pic:cNvPr descr="images/datimage2.png" id="46" name="Picture"/>
                    <pic:cNvPicPr>
                      <a:picLocks noChangeArrowheads="1" noChangeAspect="1"/>
                    </pic:cNvPicPr>
                  </pic:nvPicPr>
                  <pic:blipFill>
                    <a:blip r:embed="rId44"/>
                    <a:stretch>
                      <a:fillRect/>
                    </a:stretch>
                  </pic:blipFill>
                  <pic:spPr bwMode="auto">
                    <a:xfrm>
                      <a:off x="0" y="0"/>
                      <a:ext cx="5486400" cy="3200400"/>
                    </a:xfrm>
                    <a:prstGeom prst="rect">
                      <a:avLst/>
                    </a:prstGeom>
                    <a:noFill/>
                    <a:ln w="9525">
                      <a:noFill/>
                      <a:headEnd/>
                      <a:tailEnd/>
                    </a:ln>
                  </pic:spPr>
                </pic:pic>
              </a:graphicData>
            </a:graphic>
          </wp:inline>
        </w:drawing>
      </w:r>
      <w:bookmarkEnd w:id="47"/>
    </w:p>
    <w:p>
      <w:pPr>
        <w:pStyle w:val="ImageCaption"/>
      </w:pPr>
      <w:r>
        <w:t xml:space="preserve">Figure 5: Plano de Datos Objetivo del FNA</w:t>
      </w:r>
    </w:p>
    <w:bookmarkEnd w:id="0"/>
    <w:p>
      <w:pPr>
        <w:pStyle w:val="Textoindependiente"/>
      </w:pPr>
      <w:r>
        <w:t xml:space="preserve">La Ilustración a continuación muestra los marcos de referencia aplicables al dominio de Información:</w:t>
      </w:r>
    </w:p>
    <w:bookmarkStart w:id="0" w:name="fig:ecd8d26d-8dee-4629-9c45-b04e2793f91b"/>
    <w:p>
      <w:pPr>
        <w:pStyle w:val="CaptionedFigure"/>
      </w:pPr>
      <w:bookmarkStart w:id="51" w:name="fig:"/>
      <w:r>
        <w:drawing>
          <wp:inline>
            <wp:extent cx="5486400" cy="2194560"/>
            <wp:effectExtent b="0" l="0" r="0" t="0"/>
            <wp:docPr descr="Figure 6: Marcos de referencia aplicables a la arquitectura de información" title="" id="49" name="Picture"/>
            <a:graphic>
              <a:graphicData uri="http://schemas.openxmlformats.org/drawingml/2006/picture">
                <pic:pic>
                  <pic:nvPicPr>
                    <pic:cNvPr descr="images/datimage3.png" id="50" name="Picture"/>
                    <pic:cNvPicPr>
                      <a:picLocks noChangeArrowheads="1" noChangeAspect="1"/>
                    </pic:cNvPicPr>
                  </pic:nvPicPr>
                  <pic:blipFill>
                    <a:blip r:embed="rId48"/>
                    <a:stretch>
                      <a:fillRect/>
                    </a:stretch>
                  </pic:blipFill>
                  <pic:spPr bwMode="auto">
                    <a:xfrm>
                      <a:off x="0" y="0"/>
                      <a:ext cx="5486400" cy="2194560"/>
                    </a:xfrm>
                    <a:prstGeom prst="rect">
                      <a:avLst/>
                    </a:prstGeom>
                    <a:noFill/>
                    <a:ln w="9525">
                      <a:noFill/>
                      <a:headEnd/>
                      <a:tailEnd/>
                    </a:ln>
                  </pic:spPr>
                </pic:pic>
              </a:graphicData>
            </a:graphic>
          </wp:inline>
        </w:drawing>
      </w:r>
      <w:bookmarkEnd w:id="51"/>
    </w:p>
    <w:p>
      <w:pPr>
        <w:pStyle w:val="ImageCaption"/>
      </w:pPr>
      <w:r>
        <w:t xml:space="preserve">Figure 6: Marcos de referencia aplicables a la arquitectura de información</w:t>
      </w:r>
    </w:p>
    <w:bookmarkEnd w:id="0"/>
    <w:bookmarkEnd w:id="52"/>
    <w:bookmarkStart w:id="5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53"/>
    <w:bookmarkEnd w:id="54"/>
    <w:bookmarkStart w:id="6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pltaforma en la nube. Dentro de la oferta actual de componentes se pueden encontrar soluciones que permiten garantizar escalabilidad, disponibilidad, cumplimiento regulatorio y menores tiempos de salida al mercado.</w:t>
      </w:r>
    </w:p>
    <w:bookmarkStart w:id="5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56" name="Picture"/>
            <a:graphic>
              <a:graphicData uri="http://schemas.openxmlformats.org/drawingml/2006/picture">
                <pic:pic>
                  <pic:nvPicPr>
                    <pic:cNvPr descr="./images/infrimage1.png" id="57" name="Picture"/>
                    <pic:cNvPicPr>
                      <a:picLocks noChangeArrowheads="1" noChangeAspect="1"/>
                    </pic:cNvPicPr>
                  </pic:nvPicPr>
                  <pic:blipFill>
                    <a:blip r:embed="rId5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58"/>
    <w:bookmarkStart w:id="5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bookmarkEnd w:id="59"/>
    <w:bookmarkEnd w:id="60"/>
    <w:bookmarkEnd w:id="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2023-07-29T22:37:56Z</dcterms:created>
  <dcterms:modified xsi:type="dcterms:W3CDTF">2023-07-29T22:37:56Z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