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5.png" ContentType="image/png"/>
  <Override PartName="/word/media/rId27.png" ContentType="image/png"/>
  <Override PartName="/word/media/rId22.png" ContentType="image/png"/>
  <Override PartName="/word/media/rId32.png" ContentType="image/png"/>
  <Override PartName="/word/media/rId39.png" ContentType="image/png"/>
  <Override PartName="/word/media/rId44.png" ContentType="image/png"/>
  <Override PartName="/word/media/rId4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1.a998cb5</w:t>
            </w:r>
            <w:r>
              <w:t xml:space="preserve"> </w:t>
            </w:r>
            <w:r>
              <w:t xml:space="preserve">del 27 Jul 2023</w:t>
            </w:r>
          </w:p>
        </w:tc>
      </w:tr>
      <w:tr>
        <w:tc>
          <w:tcPr/>
          <w:p>
            <w:pPr>
              <w:pStyle w:val="Compact"/>
              <w:jc w:val="left"/>
            </w:pPr>
            <w:r>
              <w:t xml:space="preserve">Vínculos</w:t>
            </w:r>
          </w:p>
        </w:tc>
        <w:tc>
          <w:tcPr/>
          <w:p>
            <w:pPr>
              <w:pStyle w:val="Compact"/>
              <w:jc w:val="left"/>
            </w:pPr>
            <w:hyperlink r:id="rId20">
              <w:r>
                <w:rPr>
                  <w:rStyle w:val="Hipervnculo"/>
                </w:rPr>
                <w:t xml:space="preserve">Ejecución Plan de Trabajo SOA</w:t>
              </w:r>
            </w:hyperlink>
            <w:r>
              <w:t xml:space="preserve">;</w:t>
            </w:r>
            <w:r>
              <w:t xml:space="preserve"> </w:t>
            </w:r>
            <w:hyperlink r:id="rId21">
              <w:r>
                <w:rPr>
                  <w:rStyle w:val="Hipervnculo"/>
                </w:rPr>
                <w:t xml:space="preserve">Procesos de Negocio FNA</w:t>
              </w:r>
            </w:hyperlink>
          </w:p>
        </w:tc>
      </w:tr>
    </w:tbl>
    <w:p>
      <w:pPr>
        <w:pStyle w:val="Textoindependiente"/>
      </w:pPr>
    </w:p>
    <w:bookmarkStart w:id="61"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y que implica a las problemáticas diagnosticadas en Fase I</w:t>
      </w:r>
      <w:r>
        <w:t xml:space="preserve"> </w:t>
      </w:r>
      <w:r>
        <w:t xml:space="preserve">[</w:t>
      </w:r>
      <w:hyperlink w:anchor="ref-eservices1-22">
        <w:r>
          <w:rPr>
            <w:rStyle w:val="Hipervnculo"/>
            <w:bCs/>
            <w:b/>
          </w:rPr>
          <w:t xml:space="preserve">eservices1-22?</w:t>
        </w:r>
      </w:hyperlink>
      <w:r>
        <w:t xml:space="preserve">]</w:t>
      </w:r>
      <w:r>
        <w:t xml:space="preserve">. Sobre este plano realizaremos luego las propuestas de nuevas arquitecturas respecto a la actual dirigidas a enfrentar dichas problemáticas allí planteadas, y que se resumen en las siguientes.</w:t>
      </w:r>
    </w:p>
    <w:p>
      <w:pPr>
        <w:numPr>
          <w:ilvl w:val="0"/>
          <w:numId w:val="1001"/>
        </w:numPr>
        <w:pStyle w:val="Compact"/>
      </w:pPr>
      <w:r>
        <w:t xml:space="preserve">Dependencia de proveedor (OBJ1)</w:t>
      </w:r>
    </w:p>
    <w:p>
      <w:pPr>
        <w:numPr>
          <w:ilvl w:val="0"/>
          <w:numId w:val="1001"/>
        </w:numPr>
        <w:pStyle w:val="Compact"/>
      </w:pPr>
      <w:r>
        <w:t xml:space="preserve">Fortaleza SOA de las aplicaciones (OBJ2)</w:t>
      </w:r>
    </w:p>
    <w:p>
      <w:pPr>
        <w:numPr>
          <w:ilvl w:val="0"/>
          <w:numId w:val="1001"/>
        </w:numPr>
        <w:pStyle w:val="Compact"/>
      </w:pPr>
      <w:r>
        <w:t xml:space="preserve">Tiempo de mercado (OBJ3)</w:t>
      </w:r>
    </w:p>
    <w:p>
      <w:pPr>
        <w:pStyle w:val="FirstParagraph"/>
      </w:pPr>
      <w:r>
        <w:rPr>
          <w:iCs/>
          <w:i/>
        </w:rPr>
        <w:t xml:space="preserve">Fuente: E-Service, Fase I (2022).</w:t>
      </w:r>
    </w:p>
    <w:bookmarkStart w:id="38" w:name="dominio-de-servicios-y-aplicaciones-fna"/>
    <w:p>
      <w:pPr>
        <w:pStyle w:val="Ttulo2"/>
      </w:pPr>
      <w:r>
        <w:t xml:space="preserve">Dominio de Servicios y Aplicaciones FNA</w:t>
      </w:r>
    </w:p>
    <w:bookmarkStart w:id="26"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beb0d539-4b7a-439d-a15b-0c4dc82dc48a"/>
    <w:p>
      <w:pPr>
        <w:pStyle w:val="CaptionedFigure"/>
      </w:pPr>
      <w:bookmarkStart w:id="25" w:name="fig:"/>
      <w:r>
        <w:drawing>
          <wp:inline>
            <wp:extent cx="5600700" cy="3267074"/>
            <wp:effectExtent b="0" l="0" r="0" t="0"/>
            <wp:docPr descr="Figure 1: Fondo Nacional del Ahorro - Vista general de arquitectura actual" title="" id="23" name="Picture"/>
            <a:graphic>
              <a:graphicData uri="http://schemas.openxmlformats.org/drawingml/2006/picture">
                <pic:pic>
                  <pic:nvPicPr>
                    <pic:cNvPr descr="images/arqimage1.png" id="24" name="Picture"/>
                    <pic:cNvPicPr>
                      <a:picLocks noChangeArrowheads="1" noChangeAspect="1"/>
                    </pic:cNvPicPr>
                  </pic:nvPicPr>
                  <pic:blipFill>
                    <a:blip r:embed="rId22"/>
                    <a:stretch>
                      <a:fillRect/>
                    </a:stretch>
                  </pic:blipFill>
                  <pic:spPr bwMode="auto">
                    <a:xfrm>
                      <a:off x="0" y="0"/>
                      <a:ext cx="5600700" cy="3267074"/>
                    </a:xfrm>
                    <a:prstGeom prst="rect">
                      <a:avLst/>
                    </a:prstGeom>
                    <a:noFill/>
                    <a:ln w="9525">
                      <a:noFill/>
                      <a:headEnd/>
                      <a:tailEnd/>
                    </a:ln>
                  </pic:spPr>
                </pic:pic>
              </a:graphicData>
            </a:graphic>
          </wp:inline>
        </w:drawing>
      </w:r>
      <w:bookmarkEnd w:id="25"/>
    </w:p>
    <w:p>
      <w:pPr>
        <w:pStyle w:val="ImageCaption"/>
      </w:pPr>
      <w:r>
        <w:t xml:space="preserve">Figure 1: Fondo Nacional del Ahorro - Vista general de arquitectura actual</w:t>
      </w:r>
    </w:p>
    <w:bookmarkEnd w:id="0"/>
    <w:p>
      <w:pPr>
        <w:pStyle w:val="Textoindependiente"/>
      </w:pPr>
    </w:p>
    <w:bookmarkEnd w:id="26"/>
    <w:bookmarkStart w:id="37"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31" w:name="nivel-de-detalle-1"/>
    <w:p>
      <w:pPr>
        <w:pStyle w:val="Ttulo4"/>
      </w:pPr>
      <w:r>
        <w:t xml:space="preserve">Nivel de detalle 1</w:t>
      </w:r>
    </w:p>
    <w:bookmarkStart w:id="0" w:name="fig:f2bab68f-5570-4e6c-ba30-9bdf2b39c268"/>
    <w:p>
      <w:pPr>
        <w:pStyle w:val="CaptionedFigure"/>
      </w:pPr>
      <w:bookmarkStart w:id="30" w:name="fig:"/>
      <w:r>
        <w:drawing>
          <wp:inline>
            <wp:extent cx="5600700" cy="3015761"/>
            <wp:effectExtent b="0" l="0" r="0" t="0"/>
            <wp:docPr descr="Figure 2: Fondo Nacional del Ahorro - Vista general de arquitectura de referencia. N1" title="" id="28" name="Picture"/>
            <a:graphic>
              <a:graphicData uri="http://schemas.openxmlformats.org/drawingml/2006/picture">
                <pic:pic>
                  <pic:nvPicPr>
                    <pic:cNvPr descr="images/arqimage1.1.png" id="29" name="Picture"/>
                    <pic:cNvPicPr>
                      <a:picLocks noChangeArrowheads="1" noChangeAspect="1"/>
                    </pic:cNvPicPr>
                  </pic:nvPicPr>
                  <pic:blipFill>
                    <a:blip r:embed="rId27"/>
                    <a:stretch>
                      <a:fillRect/>
                    </a:stretch>
                  </pic:blipFill>
                  <pic:spPr bwMode="auto">
                    <a:xfrm>
                      <a:off x="0" y="0"/>
                      <a:ext cx="5600700" cy="3015761"/>
                    </a:xfrm>
                    <a:prstGeom prst="rect">
                      <a:avLst/>
                    </a:prstGeom>
                    <a:noFill/>
                    <a:ln w="9525">
                      <a:noFill/>
                      <a:headEnd/>
                      <a:tailEnd/>
                    </a:ln>
                  </pic:spPr>
                </pic:pic>
              </a:graphicData>
            </a:graphic>
          </wp:inline>
        </w:drawing>
      </w:r>
      <w:bookmarkEnd w:id="30"/>
    </w:p>
    <w:p>
      <w:pPr>
        <w:pStyle w:val="ImageCaption"/>
      </w:pPr>
      <w:r>
        <w:t xml:space="preserve">Figure 2: Fondo Nacional del Ahorro - Vista general de arquitectura de referencia. N1</w:t>
      </w:r>
    </w:p>
    <w:bookmarkEnd w:id="0"/>
    <w:p>
      <w:pPr>
        <w:pStyle w:val="Textoindependiente"/>
      </w:pPr>
    </w:p>
    <w:bookmarkEnd w:id="31"/>
    <w:bookmarkStart w:id="36" w:name="nivel-de-detalle-2"/>
    <w:p>
      <w:pPr>
        <w:pStyle w:val="Ttulo4"/>
      </w:pPr>
      <w:r>
        <w:t xml:space="preserve">Nivel de detalle 2</w:t>
      </w:r>
    </w:p>
    <w:bookmarkStart w:id="0" w:name="fig:570a3291-2bb0-4d8e-b5da-5c057021234e"/>
    <w:p>
      <w:pPr>
        <w:pStyle w:val="CaptionedFigure"/>
      </w:pPr>
      <w:bookmarkStart w:id="35" w:name="fig:"/>
      <w:r>
        <w:drawing>
          <wp:inline>
            <wp:extent cx="5600700" cy="3015761"/>
            <wp:effectExtent b="0" l="0" r="0" t="0"/>
            <wp:docPr descr="Figure 3: Fondo Nacional del Ahorro - Vista general de arquitectura de referencia. N1" title="" id="33" name="Picture"/>
            <a:graphic>
              <a:graphicData uri="http://schemas.openxmlformats.org/drawingml/2006/picture">
                <pic:pic>
                  <pic:nvPicPr>
                    <pic:cNvPr descr="images/arqimage2.png" id="34" name="Picture"/>
                    <pic:cNvPicPr>
                      <a:picLocks noChangeArrowheads="1" noChangeAspect="1"/>
                    </pic:cNvPicPr>
                  </pic:nvPicPr>
                  <pic:blipFill>
                    <a:blip r:embed="rId32"/>
                    <a:stretch>
                      <a:fillRect/>
                    </a:stretch>
                  </pic:blipFill>
                  <pic:spPr bwMode="auto">
                    <a:xfrm>
                      <a:off x="0" y="0"/>
                      <a:ext cx="5600700" cy="3015761"/>
                    </a:xfrm>
                    <a:prstGeom prst="rect">
                      <a:avLst/>
                    </a:prstGeom>
                    <a:noFill/>
                    <a:ln w="9525">
                      <a:noFill/>
                      <a:headEnd/>
                      <a:tailEnd/>
                    </a:ln>
                  </pic:spPr>
                </pic:pic>
              </a:graphicData>
            </a:graphic>
          </wp:inline>
        </w:drawing>
      </w:r>
      <w:bookmarkEnd w:id="35"/>
    </w:p>
    <w:p>
      <w:pPr>
        <w:pStyle w:val="ImageCaption"/>
      </w:pPr>
      <w:r>
        <w:t xml:space="preserve">Figure 3: Fondo Nacional del Ahorro - Vista general de arquitectura de referencia. N1</w:t>
      </w:r>
    </w:p>
    <w:bookmarkEnd w:id="0"/>
    <w:p>
      <w:pPr>
        <w:pStyle w:val="Textoindependiente"/>
      </w:pPr>
    </w:p>
    <w:bookmarkEnd w:id="36"/>
    <w:bookmarkEnd w:id="37"/>
    <w:bookmarkEnd w:id="38"/>
    <w:bookmarkStart w:id="54"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43" w:name="pilares-de-la-malla-de-datos-data-mesh"/>
    <w:p>
      <w:pPr>
        <w:pStyle w:val="Ttulo3"/>
      </w:pPr>
      <w:r>
        <w:t xml:space="preserve">Pilares de la Malla de Datos (data mesh)</w:t>
      </w:r>
    </w:p>
    <w:bookmarkStart w:id="0" w:name="fig:33ff7203-4160-44a2-af63-4a486ed01e58"/>
    <w:p>
      <w:pPr>
        <w:pStyle w:val="CaptionedFigure"/>
      </w:pPr>
      <w:bookmarkStart w:id="42" w:name="fig:"/>
      <w:r>
        <w:drawing>
          <wp:inline>
            <wp:extent cx="5486400" cy="2743200"/>
            <wp:effectExtent b="0" l="0" r="0" t="0"/>
            <wp:docPr descr="Figure 4: Malla de datos para el FNA" title="" id="40" name="Picture"/>
            <a:graphic>
              <a:graphicData uri="http://schemas.openxmlformats.org/drawingml/2006/picture">
                <pic:pic>
                  <pic:nvPicPr>
                    <pic:cNvPr descr="images/datimage1.png" id="41" name="Picture"/>
                    <pic:cNvPicPr>
                      <a:picLocks noChangeArrowheads="1" noChangeAspect="1"/>
                    </pic:cNvPicPr>
                  </pic:nvPicPr>
                  <pic:blipFill>
                    <a:blip r:embed="rId39"/>
                    <a:stretch>
                      <a:fillRect/>
                    </a:stretch>
                  </pic:blipFill>
                  <pic:spPr bwMode="auto">
                    <a:xfrm>
                      <a:off x="0" y="0"/>
                      <a:ext cx="5486400" cy="2743200"/>
                    </a:xfrm>
                    <a:prstGeom prst="rect">
                      <a:avLst/>
                    </a:prstGeom>
                    <a:noFill/>
                    <a:ln w="9525">
                      <a:noFill/>
                      <a:headEnd/>
                      <a:tailEnd/>
                    </a:ln>
                  </pic:spPr>
                </pic:pic>
              </a:graphicData>
            </a:graphic>
          </wp:inline>
        </w:drawing>
      </w:r>
      <w:bookmarkEnd w:id="42"/>
    </w:p>
    <w:p>
      <w:pPr>
        <w:pStyle w:val="ImageCaption"/>
      </w:pPr>
      <w:r>
        <w:t xml:space="preserve">Figure 4: Malla de datos para el FNA</w:t>
      </w:r>
    </w:p>
    <w:bookmarkEnd w:id="0"/>
    <w:bookmarkEnd w:id="43"/>
    <w:bookmarkStart w:id="52"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w:t>
      </w:r>
      <w:r>
        <w:t xml:space="preserve"> </w:t>
      </w:r>
      <w:r>
        <w:t xml:space="preserve">especificadas por el Marco de Referencia de Arquitectura Empresarial para entidades del Estado Colombiano - MRAE para orientar la evaluación del estado actual y la definición del estado deseado integrando</w:t>
      </w:r>
      <w:r>
        <w:t xml:space="preserve"> </w:t>
      </w:r>
      <w:r>
        <w:t xml:space="preserve">capacidades para el gobierno de datos, arquitectura de datos, diseño y modelamiento de datos, operaciones y almacenamiento de datos, seguridad de datos, interoperabilidad e integración de datos, gestión documental y contenido, datos maestros y de referencia, inteligencia de negocios y analítica, metadatos y calidad de datos.</w:t>
      </w:r>
    </w:p>
    <w:bookmarkStart w:id="0" w:name="fig:eff8ebf7-01cf-4a2e-ba0e-bc2eab1d04ac"/>
    <w:p>
      <w:pPr>
        <w:pStyle w:val="CaptionedFigure"/>
      </w:pPr>
      <w:bookmarkStart w:id="47" w:name="fig:"/>
      <w:r>
        <w:drawing>
          <wp:inline>
            <wp:extent cx="5486400" cy="3200400"/>
            <wp:effectExtent b="0" l="0" r="0" t="0"/>
            <wp:docPr descr="Figure 5: Plano de Datos Objetivo del FNA" title="" id="45" name="Picture"/>
            <a:graphic>
              <a:graphicData uri="http://schemas.openxmlformats.org/drawingml/2006/picture">
                <pic:pic>
                  <pic:nvPicPr>
                    <pic:cNvPr descr="images/datimage2.png" id="46" name="Picture"/>
                    <pic:cNvPicPr>
                      <a:picLocks noChangeArrowheads="1" noChangeAspect="1"/>
                    </pic:cNvPicPr>
                  </pic:nvPicPr>
                  <pic:blipFill>
                    <a:blip r:embed="rId44"/>
                    <a:stretch>
                      <a:fillRect/>
                    </a:stretch>
                  </pic:blipFill>
                  <pic:spPr bwMode="auto">
                    <a:xfrm>
                      <a:off x="0" y="0"/>
                      <a:ext cx="5486400" cy="3200400"/>
                    </a:xfrm>
                    <a:prstGeom prst="rect">
                      <a:avLst/>
                    </a:prstGeom>
                    <a:noFill/>
                    <a:ln w="9525">
                      <a:noFill/>
                      <a:headEnd/>
                      <a:tailEnd/>
                    </a:ln>
                  </pic:spPr>
                </pic:pic>
              </a:graphicData>
            </a:graphic>
          </wp:inline>
        </w:drawing>
      </w:r>
      <w:bookmarkEnd w:id="47"/>
    </w:p>
    <w:p>
      <w:pPr>
        <w:pStyle w:val="ImageCaption"/>
      </w:pPr>
      <w:r>
        <w:t xml:space="preserve">Figure 5: Plano de Datos Objetivo del FNA</w:t>
      </w:r>
    </w:p>
    <w:bookmarkEnd w:id="0"/>
    <w:p>
      <w:pPr>
        <w:pStyle w:val="Textoindependiente"/>
      </w:pPr>
      <w:r>
        <w:t xml:space="preserve">La Ilustración a continuación muestra los marcos de referencia aplicables al dominio de Información:</w:t>
      </w:r>
    </w:p>
    <w:bookmarkStart w:id="0" w:name="fig:b73b4440-5360-4a95-b423-0ce98bfb6d95"/>
    <w:p>
      <w:pPr>
        <w:pStyle w:val="CaptionedFigure"/>
      </w:pPr>
      <w:bookmarkStart w:id="51" w:name="fig:"/>
      <w:r>
        <w:drawing>
          <wp:inline>
            <wp:extent cx="5486400" cy="2194560"/>
            <wp:effectExtent b="0" l="0" r="0" t="0"/>
            <wp:docPr descr="Figure 6: Marcos de referencia aplicables a la arquitectura de información" title="" id="49" name="Picture"/>
            <a:graphic>
              <a:graphicData uri="http://schemas.openxmlformats.org/drawingml/2006/picture">
                <pic:pic>
                  <pic:nvPicPr>
                    <pic:cNvPr descr="images/datimage3.png" id="50" name="Picture"/>
                    <pic:cNvPicPr>
                      <a:picLocks noChangeArrowheads="1" noChangeAspect="1"/>
                    </pic:cNvPicPr>
                  </pic:nvPicPr>
                  <pic:blipFill>
                    <a:blip r:embed="rId48"/>
                    <a:stretch>
                      <a:fillRect/>
                    </a:stretch>
                  </pic:blipFill>
                  <pic:spPr bwMode="auto">
                    <a:xfrm>
                      <a:off x="0" y="0"/>
                      <a:ext cx="5486400" cy="2194560"/>
                    </a:xfrm>
                    <a:prstGeom prst="rect">
                      <a:avLst/>
                    </a:prstGeom>
                    <a:noFill/>
                    <a:ln w="9525">
                      <a:noFill/>
                      <a:headEnd/>
                      <a:tailEnd/>
                    </a:ln>
                  </pic:spPr>
                </pic:pic>
              </a:graphicData>
            </a:graphic>
          </wp:inline>
        </w:drawing>
      </w:r>
      <w:bookmarkEnd w:id="51"/>
    </w:p>
    <w:p>
      <w:pPr>
        <w:pStyle w:val="ImageCaption"/>
      </w:pPr>
      <w:r>
        <w:t xml:space="preserve">Figure 6: Marcos de referencia aplicables a la arquitectura de información</w:t>
      </w:r>
    </w:p>
    <w:bookmarkEnd w:id="0"/>
    <w:bookmarkEnd w:id="52"/>
    <w:bookmarkStart w:id="53" w:name="Xd22805d3d931ff6424a9ccb7ae781c8ab09e397"/>
    <w:p>
      <w:pPr>
        <w:pStyle w:val="Ttulo3"/>
      </w:pPr>
      <w:r>
        <w:t xml:space="preserve">Características Principales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w:t>
      </w:r>
      <w:r>
        <w:t xml:space="preserve"> </w:t>
      </w:r>
      <w:r>
        <w:t xml:space="preserve">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bookmarkEnd w:id="53"/>
    <w:bookmarkEnd w:id="54"/>
    <w:bookmarkStart w:id="60"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Dentro de la oferta actual de componentes se pueden encontrar soluciones que permiten garantizar escalabilidad, disponibilidad, cumplimiento regulatorio y menores tiempos de salida al mercado.</w:t>
      </w:r>
    </w:p>
    <w:p>
      <w:pPr>
        <w:pStyle w:val="Textoindependiente"/>
      </w:pPr>
    </w:p>
    <w:bookmarkStart w:id="58" w:name="arquitectura-objetivo"/>
    <w:p>
      <w:pPr>
        <w:pStyle w:val="Ttulo3"/>
      </w:pPr>
      <w:r>
        <w:t xml:space="preserve">Arquitectura Objetivo</w:t>
      </w:r>
    </w:p>
    <w:p>
      <w:pPr>
        <w:pStyle w:val="FirstParagraph"/>
      </w:pPr>
      <w:r>
        <w:t xml:space="preserve">En respuesta a las necesidades determinadas en los diagnósticos de Fase I, proponemos una base de infraestructura futura, pero compatible con el contexto actual del FNA. Por tanto, esta propuesta se centra en el estilo de arquitectura SOA mejorado con la malla de servicios y microservicios elásticos (auto escalado).</w:t>
      </w:r>
    </w:p>
    <w:p>
      <w:pPr>
        <w:pStyle w:val="CaptionedFigure"/>
      </w:pPr>
      <w:r>
        <w:drawing>
          <wp:inline>
            <wp:extent cx="5577840" cy="3200400"/>
            <wp:effectExtent b="0" l="0" r="0" t="0"/>
            <wp:docPr descr="Infraestructura de arquitectura mallas de servicios SOA. Característica principal: los servicios elásticos (auto escalado)." title="" id="56" name="Picture"/>
            <a:graphic>
              <a:graphicData uri="http://schemas.openxmlformats.org/drawingml/2006/picture">
                <pic:pic>
                  <pic:nvPicPr>
                    <pic:cNvPr descr="./images/infrimage1.png" id="57" name="Picture"/>
                    <pic:cNvPicPr>
                      <a:picLocks noChangeArrowheads="1" noChangeAspect="1"/>
                    </pic:cNvPicPr>
                  </pic:nvPicPr>
                  <pic:blipFill>
                    <a:blip r:embed="rId55"/>
                    <a:stretch>
                      <a:fillRect/>
                    </a:stretch>
                  </pic:blipFill>
                  <pic:spPr bwMode="auto">
                    <a:xfrm>
                      <a:off x="0" y="0"/>
                      <a:ext cx="5577840" cy="3200400"/>
                    </a:xfrm>
                    <a:prstGeom prst="rect">
                      <a:avLst/>
                    </a:prstGeom>
                    <a:noFill/>
                    <a:ln w="9525">
                      <a:noFill/>
                      <a:headEnd/>
                      <a:tailEnd/>
                    </a:ln>
                  </pic:spPr>
                </pic:pic>
              </a:graphicData>
            </a:graphic>
          </wp:inline>
        </w:drawing>
      </w:r>
    </w:p>
    <w:p>
      <w:pPr>
        <w:pStyle w:val="ImageCaption"/>
      </w:pPr>
      <w:r>
        <w:t xml:space="preserve">Infraestructura de arquitectura mallas de servicios SOA. Característica principal: los servicios elásticos (auto escalado).</w:t>
      </w:r>
    </w:p>
    <w:p>
      <w:pPr>
        <w:pStyle w:val="Textoindependiente"/>
      </w:pPr>
      <w:r>
        <w:t xml:space="preserve">A continuación resaltamos algunas características de interés respecto de los problemas que esta arquitectura soluciona.</w:t>
      </w:r>
    </w:p>
    <w:p>
      <w:pPr>
        <w:pStyle w:val="Textoindependiente"/>
      </w:pPr>
    </w:p>
    <w:bookmarkEnd w:id="58"/>
    <w:bookmarkStart w:id="59" w:name="principales-características"/>
    <w:p>
      <w:pPr>
        <w:pStyle w:val="Ttulo3"/>
      </w:pPr>
      <w:r>
        <w:t xml:space="preserve">Principales Características</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bookmarkEnd w:id="59"/>
    <w:bookmarkEnd w:id="60"/>
    <w:bookmarkEnd w:id="6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5" Target="media/rId55.png" /><Relationship Type="http://schemas.openxmlformats.org/officeDocument/2006/relationships/image" Id="rId27" Target="media/rId27.png" /><Relationship Type="http://schemas.openxmlformats.org/officeDocument/2006/relationships/image" Id="rId22" Target="media/rId22.png" /><Relationship Type="http://schemas.openxmlformats.org/officeDocument/2006/relationships/image" Id="rId32" Target="media/rId32.png" /><Relationship Type="http://schemas.openxmlformats.org/officeDocument/2006/relationships/image" Id="rId39" Target="media/rId39.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hyperlink" Id="rId20" Target="onenote:#N001d.sharepoint.com" TargetMode="External" /><Relationship Type="http://schemas.openxmlformats.org/officeDocument/2006/relationships/hyperlink" Id="rId21"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2023-07-27T18:18:47Z</dcterms:created>
  <dcterms:modified xsi:type="dcterms:W3CDTF">2023-07-27T18:18:47Z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