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1.f47c79f</w:t>
            </w:r>
            <w:r>
              <w:t xml:space="preserve"> </w:t>
            </w:r>
            <w:r>
              <w:t xml:space="preserve">del 02 Aug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la misma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w:t>
      </w:r>
      <w:r>
        <w:t xml:space="preserve">(ver Resumen de problemas diagnosticados, E-Service, Fase I, 2022 en</w:t>
      </w:r>
      <w:r>
        <w:t xml:space="preserve"> </w:t>
      </w:r>
      <w:r>
        <w:t xml:space="preserve">[</w:t>
      </w:r>
      <w:hyperlink w:anchor="ref-eservices4-22">
        <w:r>
          <w:rPr>
            <w:rStyle w:val="Hipervnculo"/>
            <w:bCs/>
            <w:b/>
          </w:rPr>
          <w:t xml:space="preserve">eservices4-22?</w:t>
        </w:r>
      </w:hyperlink>
      <w:r>
        <w:t xml:space="preserve">]</w:t>
      </w:r>
      <w:r>
        <w:t xml:space="preserve">). Sobre este plano realizaremos luego las propuestas de las vistas funcionales que fungen como arquitecturas de referencia en tanto que proyectan el entendimiento funcional destino útil para enfrentar dichas problemáticas planteadas en</w:t>
      </w:r>
      <w:r>
        <w:t xml:space="preserve"> </w:t>
      </w:r>
      <w:r>
        <w:t xml:space="preserve">[</w:t>
      </w:r>
      <w:hyperlink w:anchor="ref-eservices1-22">
        <w:r>
          <w:rPr>
            <w:rStyle w:val="Hipervnculo"/>
            <w:bCs/>
            <w:b/>
          </w:rPr>
          <w:t xml:space="preserve">eservices1-22?</w:t>
        </w:r>
      </w:hyperlink>
      <w:r>
        <w:t xml:space="preserve">]</w:t>
      </w:r>
      <w:r>
        <w:t xml:space="preserve">, eservices3-22 y</w:t>
      </w:r>
      <w:r>
        <w:t xml:space="preserve"> </w:t>
      </w:r>
      <w:r>
        <w:t xml:space="preserve">[</w:t>
      </w:r>
      <w:hyperlink w:anchor="ref-eservices4-22">
        <w:r>
          <w:rPr>
            <w:rStyle w:val="Hipervnculo"/>
            <w:bCs/>
            <w:b/>
          </w:rPr>
          <w:t xml:space="preserve">eservices4-22?</w:t>
        </w:r>
      </w:hyperlink>
      <w:r>
        <w:t xml:space="preserve">]</w:t>
      </w:r>
      <w:r>
        <w:t xml:space="preserve">,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arqimage1.png"/>
    <w:p>
      <w:pPr>
        <w:pStyle w:val="CaptionedFigure"/>
      </w:pPr>
      <w:bookmarkStart w:id="25" w:name="fig:arqimage1.pn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arqimage1.1.png"/>
    <w:p>
      <w:pPr>
        <w:pStyle w:val="CaptionedFigure"/>
      </w:pPr>
      <w:bookmarkStart w:id="30" w:name="fig:arqimage1.1.png"/>
      <w:r>
        <w:drawing>
          <wp:inline>
            <wp:extent cx="5600700" cy="3015761"/>
            <wp:effectExtent b="0" l="0" r="0" t="0"/>
            <wp:docPr descr="Figure 2: Fondo Nacional del Ahorro - Vista general de arquitectura de referencia. Nivel de detalle 1. Separación de segmentos de la arquitectura de referencia del FNA."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31"/>
    <w:bookmarkStart w:id="3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35" w:name="fig:arqimage2.png"/>
      <w:r>
        <w:drawing>
          <wp:inline>
            <wp:extent cx="5600700" cy="3015761"/>
            <wp:effectExtent b="0" l="0" r="0" t="0"/>
            <wp:docPr descr="Figure 3: Fondo Nacional del Ahorro - Vista general de arquitectura de referencia. Nivel de detalle 2. Separación de subsegmentos de la arquitectura de referencia del FNA."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b600f7c0-3b32-438a-8110-7b7e5ebc7119"/>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54daa778-232c-4a68-9ef0-a2c848c0aadd"/>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768c9d89-f76b-47ad-9816-3f56a126f3c6"/>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plataforma en la nube. Dentro de la oferta actual de componentes se pueden encontrar soluciones que permiten garantizar escalabilidad, disponibilidad, cumplimiento regulatorio y menores tiempos de salida al mercado.</w:t>
      </w: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2023-08-02T17:12:47Z</dcterms:created>
  <dcterms:modified xsi:type="dcterms:W3CDTF">2023-08-02T17:12:47Z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