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32.png" ContentType="image/png"/>
  <Override PartName="/word/media/rId37.png" ContentType="image/png"/>
  <Override PartName="/word/media/rId42.png" ContentType="image/png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3d2c9767e2775fc019e8732887eceef34694eef"/>
    <w:p>
      <w:pPr>
        <w:pStyle w:val="Ttulo3"/>
      </w:pPr>
      <w:r>
        <w:t xml:space="preserve">ARQREF0. Vista Funcional de la Arquitectura de Referencia 2.0. Servicios y Aplicaciones</w:t>
      </w:r>
    </w:p>
    <w:p>
      <w:pPr>
        <w:pStyle w:val="FirstParagraph"/>
      </w:pPr>
      <w:r>
        <w:t xml:space="preserve">Presentamos la primera versión del modelo de referencia del dominio de servicios y aplicaciones 2.0 del FNA. El modelo queda representado en la siguiente vista funcional.</w:t>
      </w:r>
    </w:p>
    <w:bookmarkStart w:id="0" w:name="fig:ARQREF0.png"/>
    <w:p>
      <w:pPr>
        <w:pStyle w:val="CaptionedFigure"/>
      </w:pPr>
      <w:bookmarkStart w:id="23" w:name="fig:ARQREF0.png"/>
      <w:r>
        <w:drawing>
          <wp:inline>
            <wp:extent cx="5600700" cy="4251822"/>
            <wp:effectExtent b="0" l="0" r="0" t="0"/>
            <wp:docPr descr="Figure 1: Fondo Nacional del Ahorro - Arquitectura de Referencia 2.0. Vista funcional del dominio de servicios y aplicaciones del FNA." title="" id="21" name="Picture"/>
            <a:graphic>
              <a:graphicData uri="http://schemas.openxmlformats.org/drawingml/2006/picture">
                <pic:pic>
                  <pic:nvPicPr>
                    <pic:cNvPr descr="images/ARQREF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51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Fondo Nacional del Ahorro - Arquitectura de Referencia 2.0. Vista funcional del dominio de servicios y aplicaciones del FNA.</w:t>
      </w:r>
    </w:p>
    <w:bookmarkEnd w:id="0"/>
    <w:p>
      <w:pPr>
        <w:pStyle w:val="Textoindependiente"/>
      </w:pPr>
      <w:r>
        <w:t xml:space="preserve">El modelo funcional de la arquitectura de referencia del FNA está organizado en los siguientes segmentos de arquitectura.</w:t>
      </w:r>
    </w:p>
    <w:bookmarkStart w:id="24" w:name="X4d247192c4281d55f0d465dd24dd72c737e5a73"/>
    <w:p>
      <w:pPr>
        <w:pStyle w:val="Ttulo4"/>
      </w:pPr>
      <w:r>
        <w:t xml:space="preserve">Segmentos del Modelo Funcional de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Canales. Sitios físicos o electrónicos en relación con los clientes.</w:t>
      </w:r>
    </w:p>
    <w:p>
      <w:pPr>
        <w:numPr>
          <w:ilvl w:val="0"/>
          <w:numId w:val="1001"/>
        </w:numPr>
        <w:pStyle w:val="Compact"/>
      </w:pPr>
      <w:r>
        <w:t xml:space="preserve">Intermediación con Clientes. Medio físicos o electrónicos de interoperatividad del FNA con los clientes.</w:t>
      </w:r>
    </w:p>
    <w:p>
      <w:pPr>
        <w:numPr>
          <w:ilvl w:val="0"/>
          <w:numId w:val="1001"/>
        </w:numPr>
        <w:pStyle w:val="Compact"/>
      </w:pPr>
      <w:r>
        <w:t xml:space="preserve">Intermediación con Gobierno Nacional. Medio físicos o electrónicos de interoperatividad del FNA con entidades del Estado, como la Superintendencia Financiera de Colombia, Min Hacienda y MinTIC.</w:t>
      </w:r>
    </w:p>
    <w:p>
      <w:pPr>
        <w:numPr>
          <w:ilvl w:val="0"/>
          <w:numId w:val="1001"/>
        </w:numPr>
        <w:pStyle w:val="Compact"/>
      </w:pPr>
      <w:r>
        <w:t xml:space="preserve">Productos de la Empresa al Cliente. Productos de negocio ofertados, relación con clientes. Son colecciones de servicios que funcionan como una unidad.</w:t>
      </w:r>
    </w:p>
    <w:p>
      <w:pPr>
        <w:numPr>
          <w:ilvl w:val="0"/>
          <w:numId w:val="1001"/>
        </w:numPr>
        <w:pStyle w:val="Compact"/>
      </w:pPr>
      <w:r>
        <w:t xml:space="preserve">Trámites (procedimientos documentales) FNA. Procesos relacionados con los productos o clientes del FNA. Basados en documentación física o digital. Ejemplo, trámite de afiliaciones y retiros, el retiro de cesantías, aperturas, etc.</w:t>
      </w:r>
    </w:p>
    <w:p>
      <w:pPr>
        <w:numPr>
          <w:ilvl w:val="0"/>
          <w:numId w:val="1001"/>
        </w:numPr>
        <w:pStyle w:val="Compact"/>
      </w:pPr>
      <w:r>
        <w:t xml:space="preserve">Transacciones FNA. Unidades de intercambio de beneficios y registros de Crédito, Cartera, Garantías, Cuenta AVC.</w:t>
      </w:r>
    </w:p>
    <w:p>
      <w:pPr>
        <w:numPr>
          <w:ilvl w:val="0"/>
          <w:numId w:val="1001"/>
        </w:numPr>
        <w:pStyle w:val="Compact"/>
      </w:pPr>
      <w:r>
        <w:t xml:space="preserve">Actividad regulatoria del FNA. Procesos de intercambio de funciones regulatorias o sancionatorias e intercambio de información de seguridad debida al cumplimiento exigido por el Gobierno Nacional.</w:t>
      </w:r>
    </w:p>
    <w:p>
      <w:pPr>
        <w:numPr>
          <w:ilvl w:val="0"/>
          <w:numId w:val="1001"/>
        </w:numPr>
        <w:pStyle w:val="Compact"/>
      </w:pPr>
      <w:r>
        <w:t xml:space="preserve">Fuentes de Información Referencial Transaccional. Acceso a información requerida por las transacciones del FNA, como listas blancas, seguros, Registraduría.</w:t>
      </w:r>
    </w:p>
    <w:p>
      <w:pPr>
        <w:numPr>
          <w:ilvl w:val="0"/>
          <w:numId w:val="1001"/>
        </w:numPr>
        <w:pStyle w:val="Compact"/>
      </w:pPr>
      <w:r>
        <w:t xml:space="preserve">Fuentes de Información Provistas. Exposición de entidades y componentes de datos (reportes, esquemas, archivos…) al Bco. de la República, Ministerios, entre otros.</w:t>
      </w:r>
    </w:p>
    <w:p>
      <w:pPr>
        <w:numPr>
          <w:ilvl w:val="0"/>
          <w:numId w:val="1001"/>
        </w:numPr>
        <w:pStyle w:val="Compact"/>
      </w:pPr>
      <w:r>
        <w:t xml:space="preserve">Fuentes de Información Referencial Pública. Acceso a datos de entidades públicas, como Formatos de Ministerios, Registros de Asobancos, tasas del Bco. de la República.</w:t>
      </w:r>
    </w:p>
    <w:p>
      <w:pPr>
        <w:numPr>
          <w:ilvl w:val="0"/>
          <w:numId w:val="1001"/>
        </w:numPr>
        <w:pStyle w:val="Compact"/>
      </w:pPr>
      <w:r>
        <w:t xml:space="preserve">Procesamiento de información. Procesamiento de lotes diario o eventual del FNA, como contabilidad, elaboración de certificados, envío de mensajes electrónicos, descarga de información, emisión de documentos digitales, indexaciones, etc.</w:t>
      </w:r>
    </w:p>
    <w:p>
      <w:pPr>
        <w:pStyle w:val="FirstParagraph"/>
      </w:pPr>
    </w:p>
    <w:bookmarkEnd w:id="24"/>
    <w:bookmarkEnd w:id="25"/>
    <w:bookmarkStart w:id="26" w:name="elementos-de-la-vista-funcional"/>
    <w:p>
      <w:pPr>
        <w:pStyle w:val="Ttulo3"/>
      </w:pPr>
      <w:r>
        <w:t xml:space="preserve">Elementos de la Vista Funcional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Aplicaciones Externas al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 Ext - Banlínea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 Web - Banca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 Web - 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alcanceSOA:</w:t>
            </w:r>
            <w:r>
              <w:t xml:space="preserve"> </w:t>
            </w:r>
            <w:r>
              <w:t xml:space="preserve">Fase 1.1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 Web - Simuladores (JBoss EAP)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Movíl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BBVA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COBIS - Caja y Bancos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COBIS -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 Digital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Deceval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Móvil Ágil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Mi 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 Juídica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SAP - Activos Fijos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SAP -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SAP - Facturación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Central API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application-interaction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Central 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application-interaction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Central Interface de Aplicación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Firma Local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Intercomunicación compatible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 API REST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 API graphicQL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 Mensajes HTTP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 XRoad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cob_ahorros..sp_puntuacionAV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cob_credito..sp_utilidades_intranet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‘</w:t>
            </w:r>
            <w:r>
              <w:rPr>
                <w:bCs/>
                <w:b/>
              </w:rPr>
              <w:t xml:space="preserve">ahorros</w:t>
            </w:r>
            <w:r>
              <w:rPr>
                <w:bCs/>
                <w:b/>
              </w:rP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cob_credito..sp_utilidades_intranet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‘</w:t>
            </w:r>
            <w:r>
              <w:rPr>
                <w:bCs/>
                <w:b/>
              </w:rPr>
              <w:t xml:space="preserve">clientes</w:t>
            </w:r>
            <w:r>
              <w:rPr>
                <w:bCs/>
                <w:b/>
              </w:rP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Bolsa Valores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Finanzas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Finanzas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Mobile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PC/Laptop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Puntos de Atención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Actividad regulatorioas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Procesos de intercambio de funciones regulatorias o sancionatorias e intercambio de información de seguridad debida al cumplimiento exigido por el Gobierno Nacional.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Sitios físicos o electrónicos en relación con los clientes.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Fuentes de Información Provistas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Exposición de entidades y componentes de datos (reportes, esquemas, archivos…) al Bco. de la República, Ministerios, entre otros.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Fuentes de Información Referencial Pública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Acceso a datos de entidades públicas, como Formatos de Ministerios, Registros de Asobancos, tasas del Bco. de la República.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Fuentes de Información Referencial Transaccional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Acceso a datos de entidades públicas, como Formatos de Ministerios, Registros de Asobancos, tasas del Bco. de la República.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Intermediación con Clientes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 físicos o electrónicos de interoperatividad del FNA con los clientes.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Intermediación con Gobierno Nacional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Superintendencia Financiera Col.</w:t>
            </w:r>
            <w:r>
              <w:t xml:space="preserve">Min Hacienda</w:t>
            </w:r>
            <w:r>
              <w:t xml:space="preserve">MinTIC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de información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Procesamiento de lotes diario o eventual del FNA, como contabilidad, elaboración de certificados, envío de mensajes electrónicos, descarga de información, emisión de documentos digitales, indexaciones, etc.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Productos de la Empresa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Productos de negocio ofertados, relación con clientes. Son colecciones de servicios que funcionan como una unidad.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 FNA - Crédito, Cartera, Garantías, 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Unidades de intercambio de beneficios y registros de Crédito, Cartera, Garantías, Cuenta AVC.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Trámites (procedimientos documentales) de la Empresa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Procesos relacionados con los productos o clientes del FNA. Basados en documentación física o digital. Ejemplo, trámite de afiliaciones y retiros, el retiro de cesantías, aperturas, etc.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Fondo Nacional del 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31" w:name="arqref.1.malla-micross"/>
    <w:p>
      <w:pPr>
        <w:pStyle w:val="Ttulo2"/>
      </w:pPr>
      <w:r>
        <w:t xml:space="preserve">ARQREF.1.Malla Micross</w:t>
      </w:r>
    </w:p>
    <w:p>
      <w:pPr>
        <w:pStyle w:val="FirstParagraph"/>
      </w:pPr>
      <w:hyperlink w:anchor="arqref.1.malla-micross"/>
      <w:r>
        <w:t xml:space="preserve"> </w:t>
      </w:r>
      <w:r>
        <w:drawing>
          <wp:inline>
            <wp:extent cx="5600700" cy="4457391"/>
            <wp:effectExtent b="0" l="0" r="0" t="0"/>
            <wp:docPr descr="Diagram: ARQREF.1.Malla Micross" title="" id="28" name="Picture"/>
            <a:graphic>
              <a:graphicData uri="http://schemas.openxmlformats.org/drawingml/2006/picture">
                <pic:pic>
                  <pic:nvPicPr>
                    <pic:cNvPr descr="images/ARQREF.1.Malla%20Micros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57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0" w:name="elementos-de-la-vista"/>
    <w:p>
      <w:pPr>
        <w:pStyle w:val="Ttulo3"/>
      </w:pPr>
      <w:r>
        <w:t xml:space="preserve">Elementos de la Vista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Movíl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Choreography-based saga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Orchestration-based saga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 Juídica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Service Mesh Control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Sidecar Proxy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Sidecar Proxy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Sidecar Proxy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Consumer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Providers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Developer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virtual network API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virtual network Kubernates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Mobile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PC/Laptop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Database per microservice - CQRS**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Asynchronous messaging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&amp; Routing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Plane - East West Traffic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Distributed transactions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- Architecture Cloud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Kubernates Cluster - Service orchestration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Management Plane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Managemnet Plane - North south traffic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Monitor &amp; Measure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Security &amp; Protect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Serveless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Service Mesh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Fondo Nacional del 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Puntos de Atención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Bastion Host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Endpoint per microservices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Vnet Bastion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Management Bastion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Internal load balanced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Message broker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Event Hubs**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Event Hubs**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Gateway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Management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Active Directory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delivery network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Developer Portal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Event Grid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Infrastructure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Kay vault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Kubernates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Security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Platform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instance - Microservices operational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managed instance - Microservices View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0"/>
    <w:bookmarkEnd w:id="31"/>
    <w:bookmarkStart w:id="36" w:name="arqref.2.datos"/>
    <w:p>
      <w:pPr>
        <w:pStyle w:val="Ttulo2"/>
      </w:pPr>
      <w:r>
        <w:t xml:space="preserve">ARQREF.2.Datos</w:t>
      </w:r>
    </w:p>
    <w:p>
      <w:pPr>
        <w:pStyle w:val="FirstParagraph"/>
      </w:pPr>
      <w:hyperlink w:anchor="arqref.2.datos"/>
      <w:r>
        <w:t xml:space="preserve"> </w:t>
      </w:r>
      <w:r>
        <w:drawing>
          <wp:inline>
            <wp:extent cx="5600700" cy="2910285"/>
            <wp:effectExtent b="0" l="0" r="0" t="0"/>
            <wp:docPr descr="Diagram: ARQREF.2.Datos" title="" id="33" name="Picture"/>
            <a:graphic>
              <a:graphicData uri="http://schemas.openxmlformats.org/drawingml/2006/picture">
                <pic:pic>
                  <pic:nvPicPr>
                    <pic:cNvPr descr="images/ARQREF.2.Datos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10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5" w:name="elementos-de-la-vista-1"/>
    <w:p>
      <w:pPr>
        <w:pStyle w:val="Ttulo3"/>
      </w:pPr>
      <w:r>
        <w:t xml:space="preserve">Elementos de la Vista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WEB/ Mobile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Master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Business Data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Business Process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Stewardship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Governance Stewardship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 Data Stewardship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Cuentas y Pagos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Aportes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Procesos Gestión de Crédito Educativo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Procesos Gestión de Crédito Hipotecario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Procesos Gestión de crédito Constructor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Garantía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PQYR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Tesorería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Database per microservice - CQRS**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Business Users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landing zone - Self-serve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management Zone - Data Governance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Enrich - BI &amp; Data Science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- Architecture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- Data 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Data Mesh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Mission Processes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Ingest and prepare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Orchestrate - Data Pipeline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Platform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Polyglot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Process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Store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Transform and prepare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Junction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DB2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ECM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Oracle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Active Directory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Analytics engine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Policy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Cognitive 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Cosmos DB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Integration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Lake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Share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Enterprise analytics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Key Vault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Machine learning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Profisee - MDM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Purview - Data Catalog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managed instance - Microservices View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managed instance - Microservices operational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Security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Semantic Models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5"/>
    <w:bookmarkEnd w:id="36"/>
    <w:bookmarkStart w:id="41" w:name="arqref.3.entrega"/>
    <w:p>
      <w:pPr>
        <w:pStyle w:val="Ttulo2"/>
      </w:pPr>
      <w:r>
        <w:t xml:space="preserve">ARQREF.3.Entrega</w:t>
      </w:r>
    </w:p>
    <w:p>
      <w:pPr>
        <w:pStyle w:val="FirstParagraph"/>
      </w:pPr>
      <w:hyperlink w:anchor="arqref.3.entrega"/>
      <w:r>
        <w:t xml:space="preserve"> </w:t>
      </w:r>
      <w:r>
        <w:drawing>
          <wp:inline>
            <wp:extent cx="5600700" cy="4680802"/>
            <wp:effectExtent b="0" l="0" r="0" t="0"/>
            <wp:docPr descr="Diagram: ARQREF.3.Entrega" title="" id="38" name="Picture"/>
            <a:graphic>
              <a:graphicData uri="http://schemas.openxmlformats.org/drawingml/2006/picture">
                <pic:pic>
                  <pic:nvPicPr>
                    <pic:cNvPr descr="images/ARQREF.3.Entrega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680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0" w:name="elementos-de-la-vista-2"/>
    <w:p>
      <w:pPr>
        <w:pStyle w:val="Ttulo3"/>
      </w:pPr>
      <w:r>
        <w:t xml:space="preserve">Elementos de la Vista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Cli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Portal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Portal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PowerShell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Browser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Browser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DevOps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Library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yaml pipelines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 DevOps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Analysts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Analysts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 Team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Developer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cloud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Environment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Laptop/desktop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Laptop/desktop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Laptop/desktop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Branches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Pull request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Pushes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Active Directory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Artifacts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Container Registry (non-production)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Container Registry (production)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Overview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Pipelines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RBAC Roles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Repos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Resource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Resource Provider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Backlogs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Build Pipeline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Dashboards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Delivery plans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Deployments groups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Azure Projects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Azure Suscription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Organization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Financial commitment limits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Progress report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Queries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Releases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Resource Policies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Resource limits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Resources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Runs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Sprints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Summary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Task groups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Tenant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Plants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Plants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Wiki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Work items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0"/>
    <w:bookmarkEnd w:id="41"/>
    <w:bookmarkStart w:id="46" w:name="arqref.4.fna"/>
    <w:p>
      <w:pPr>
        <w:pStyle w:val="Ttulo2"/>
      </w:pPr>
      <w:r>
        <w:t xml:space="preserve">ARQREF.4.FNA</w:t>
      </w:r>
    </w:p>
    <w:p>
      <w:pPr>
        <w:pStyle w:val="FirstParagraph"/>
      </w:pPr>
      <w:hyperlink w:anchor="arqref.4.fna"/>
      <w:r>
        <w:t xml:space="preserve"> </w:t>
      </w:r>
      <w:r>
        <w:drawing>
          <wp:inline>
            <wp:extent cx="5600700" cy="4620064"/>
            <wp:effectExtent b="0" l="0" r="0" t="0"/>
            <wp:docPr descr="Diagram: ARQREF.4.FNA" title="" id="43" name="Picture"/>
            <a:graphic>
              <a:graphicData uri="http://schemas.openxmlformats.org/drawingml/2006/picture">
                <pic:pic>
                  <pic:nvPicPr>
                    <pic:cNvPr descr="images/ARQREF.4.FNA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620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5" w:name="elementos-de-la-vista-3"/>
    <w:p>
      <w:pPr>
        <w:pStyle w:val="Ttulo3"/>
      </w:pPr>
      <w:r>
        <w:t xml:space="preserve">Elementos de la Vista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Aplicaciones Externas al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Movíl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 Juídica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Service Mesh Control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Library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virtual network API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virtual network Kubernates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virtual network database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Mobile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PC/Laptop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Analytics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Asynchronous messaging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Sitios físicos o electrónicos en relación con los clientes.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Collaborative 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&amp; Routing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landing zone - Self-serve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Database Layer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Enrich - BI &amp; Data Science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- Computación de la Empresa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Ingest and prepare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Kubernates Cluster - Service orchestration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Management Plane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Managemnet Plane - North south traffic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Monitor &amp; Measure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Orchestrate - Data Pipeline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Polyglot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Process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Security &amp; Protect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Serveless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Service Mesh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Storage Layer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Store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Transform and prepare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VM Database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Junction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Fondo Nacional del 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Environment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VM DB2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VM Oracle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VM SAP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Endpoint per microservices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Branches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Message broker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Pull request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Pushes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Event Hubs**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Gateway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Management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Active Directory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Analytics engine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delivery network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Artifacts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Overview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Pipelines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Repos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Backlogs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Build Pipeline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Chache for Redis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Cognitive 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Container Registry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Content delivery network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Dashboards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Integration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Lake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Lake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Share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Delivery plans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Deployments groups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Developer Portal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Enterprise analytics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Event Grid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Azure Projects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Organization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File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Infrastructure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Kay vault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Kubernates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Machine learning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Security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NoSQL DB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Platform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Progress report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Queries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Queue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Releases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Runs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instance - Microservices operational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Semantic Reports &amp; 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Sprints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Storage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Summary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Table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Task groups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Plants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Plants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Wiki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Work items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5"/>
    <w:bookmarkEnd w:id="4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2023-08-14T19:51:02Z</dcterms:created>
  <dcterms:modified xsi:type="dcterms:W3CDTF">2023-08-14T19:51:02Z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