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f2848fda90cbf5119b1ac784f15161cd77b81c9"/>
    <w:p>
      <w:pPr>
        <w:pStyle w:val="Ttulo3"/>
      </w:pPr>
      <w:r>
        <w:t xml:space="preserve">Características de la Arquitectura de Servicios 2.0 del FNA</w:t>
      </w:r>
    </w:p>
    <w:bookmarkStart w:id="20"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20"/>
    <w:bookmarkStart w:id="21"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21"/>
    <w:bookmarkStart w:id="22"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basada en el concepto de malla de servicios trae ventajas como la modernizar de los mecanismos de orquestación de servicios​, propone alternativas para el manejo de escalabilidad, seguridad y monitoreo de servicios​, y orienta la operación de servicios hacia la computación en la nube​.</w:t>
      </w:r>
    </w:p>
    <w:bookmarkEnd w:id="22"/>
    <w:bookmarkStart w:id="23"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23"/>
    <w:bookmarkStart w:id="24"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24"/>
    <w:bookmarkStart w:id="25"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25"/>
    <w:bookmarkStart w:id="26"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26"/>
    <w:bookmarkStart w:id="27" w:name="X9d6c8b839ea6853926c866765a5e58b89f4ea0c"/>
    <w:p>
      <w:pPr>
        <w:pStyle w:val="Ttulo4"/>
      </w:pPr>
      <w:r>
        <w:t xml:space="preserve">Longevidad y escalabilidad: servicios dirigidos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2023-08-14T19:51:03Z</dcterms:created>
  <dcterms:modified xsi:type="dcterms:W3CDTF">2023-08-14T19:51:03Z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