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5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dominio-de-datos-fna"/>
    <w:p>
      <w:pPr>
        <w:pStyle w:val="Ttulo2"/>
      </w:pPr>
      <w:r>
        <w:t xml:space="preserve">Dominio de Datos FNA</w:t>
      </w:r>
    </w:p>
    <w:p>
      <w:pPr>
        <w:pStyle w:val="FirstParagraph"/>
      </w:pPr>
      <w:r>
        <w:t xml:space="preserve">Para la arquitectura SOA objetivo se propone un enfoque conocido como malla de datos. Este paradigma permite pensar en los datos como productos: disponibles y gestionados para su consumo como un producto. La malla de datos introduce cambios organizativos y de procesos que el Fondo Nacional necesitará para gestionar los datos como un activo de capital tangible del negocio.</w:t>
      </w:r>
    </w:p>
    <w:p>
      <w:pPr>
        <w:pStyle w:val="Textoindependiente"/>
      </w:pPr>
      <w:r>
        <w:t xml:space="preserve">Una malla de datos tiene como principal objetivo que estos sean más accesibles y estén disponibles para los usuarios, conectando directamente a propietarios, los productores y los consumidores de datos. La malla de datos trae beneficios como la mejora de los resultados empresariales de las soluciones centradas en los datos, y también impulsa la adopción de 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bookmarkStart w:id="0" w:name="fig:fbcdafc4-194f-4e2a-9523-f339a06c2fa2"/>
    <w:p>
      <w:pPr>
        <w:pStyle w:val="CaptionedFigure"/>
      </w:pPr>
      <w:bookmarkStart w:id="23" w:name="fig:"/>
      <w:r>
        <w:drawing>
          <wp:inline>
            <wp:extent cx="5486400" cy="2743200"/>
            <wp:effectExtent b="0" l="0" r="0" t="0"/>
            <wp:docPr descr="Figure 1: Malla de datos para el FNA" title="" id="21" name="Picture"/>
            <a:graphic>
              <a:graphicData uri="http://schemas.openxmlformats.org/drawingml/2006/picture">
                <pic:pic>
                  <pic:nvPicPr>
                    <pic:cNvPr descr="images/dat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Malla de datos para el FNA</w:t>
      </w:r>
    </w:p>
    <w:bookmarkEnd w:id="0"/>
    <w:bookmarkEnd w:id="24"/>
    <w:bookmarkStart w:id="33" w:name="plano-de-datos-objetivo-data-mesh"/>
    <w:p>
      <w:pPr>
        <w:pStyle w:val="Ttulo3"/>
      </w:pPr>
      <w:r>
        <w:t xml:space="preserve">Plano de Datos Objetivo (data mesh)</w:t>
      </w:r>
    </w:p>
    <w:p>
      <w:pPr>
        <w:pStyle w:val="FirstParagraph"/>
      </w:pPr>
      <w:r>
        <w:t xml:space="preserve">El desarrollo de la arquitectura candidata de información integrará los marcos de referencia TOGAF, el marco de referencia DAMA y las disposiciones de la política de gobierno digital, en particular las</w:t>
      </w:r>
      <w:r>
        <w:t xml:space="preserve"> </w:t>
      </w:r>
      <w:r>
        <w:t xml:space="preserve">especificadas por el Marco de Referencia de Arquitectura Empresarial para entidades del Estado Colombiano - MRAE para orientar la evaluación del estado actual y la definición del estado deseado integrando capacidades para el gobierno de datos, arquitectura de datos, diseño y modelamiento de datos, operaciones y almacenamiento de datos, seguridad de datos, interoperatividad e integración de datos, gestión documental y contenido, datos maestros y de referencia, inteligencia de negocios y analítica, metadatos y calidad de datos.</w:t>
      </w:r>
    </w:p>
    <w:bookmarkStart w:id="0" w:name="fig:ee63e38d-18f3-47b3-89e9-81c0db72bacb"/>
    <w:p>
      <w:pPr>
        <w:pStyle w:val="CaptionedFigure"/>
      </w:pPr>
      <w:bookmarkStart w:id="28" w:name="fig:"/>
      <w:r>
        <w:drawing>
          <wp:inline>
            <wp:extent cx="5486400" cy="3200400"/>
            <wp:effectExtent b="0" l="0" r="0" t="0"/>
            <wp:docPr descr="Figure 2: Plano de Datos Objetivo del FNA" title="" id="26" name="Picture"/>
            <a:graphic>
              <a:graphicData uri="http://schemas.openxmlformats.org/drawingml/2006/picture">
                <pic:pic>
                  <pic:nvPicPr>
                    <pic:cNvPr descr="images/dat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Plano de Datos Objetivo del FNA</w:t>
      </w:r>
    </w:p>
    <w:bookmarkEnd w:id="0"/>
    <w:p>
      <w:pPr>
        <w:pStyle w:val="Textoindependiente"/>
      </w:pPr>
      <w:r>
        <w:t xml:space="preserve">La Ilustración a continuación muestra los marcos de referencia aplicables al dominio de Información:</w:t>
      </w:r>
    </w:p>
    <w:bookmarkStart w:id="0" w:name="fig:79b01191-c9bd-4737-b273-4064003a901d"/>
    <w:p>
      <w:pPr>
        <w:pStyle w:val="CaptionedFigure"/>
      </w:pPr>
      <w:bookmarkStart w:id="32" w:name="fig:"/>
      <w:r>
        <w:drawing>
          <wp:inline>
            <wp:extent cx="5486400" cy="2194560"/>
            <wp:effectExtent b="0" l="0" r="0" t="0"/>
            <wp:docPr descr="Figure 3: Marcos de referencia aplicables a la arquitectura de información" title="" id="30" name="Picture"/>
            <a:graphic>
              <a:graphicData uri="http://schemas.openxmlformats.org/drawingml/2006/picture">
                <pic:pic>
                  <pic:nvPicPr>
                    <pic:cNvPr descr="images/dat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Marcos de referencia aplicables a la arquitectura de información</w:t>
      </w:r>
    </w:p>
    <w:bookmarkEnd w:id="0"/>
    <w:bookmarkEnd w:id="33"/>
    <w:bookmarkStart w:id="34" w:name="Xd6cd0ce8984cb81bba8dcedc13cad8be90d8528"/>
    <w:p>
      <w:pPr>
        <w:pStyle w:val="Ttulo3"/>
      </w:pPr>
      <w:r>
        <w:t xml:space="preserve">Características de la Arquitectura de Datos 2.0 del FNA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su propiedad a las manos de los equipos de dominio del FNA, es decir a las vicepresidencias y sus departamentos y unidades de negocio. Ellos serán los dueños de los datos de un extremo a otro, y podrán asegurarse de tener desde las fuentes correctas hasta los procesamientos necesarios y la entrega de los datos para que otros equipos de dominio los aprovechen como productos.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 datos y también de los productos de datos resultantes. El objetivo es 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 consumidores y otros equipos de dominio, y el propietario del dominio es responsable de mantener y actualizar (o desaprobar) estos productos para 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autoservicio es la tendencia a dejar las tecnologías complejas y las habilidades de nicho. El Data mesh se basa, por principio, en una gestión de datos mediante una plataforma común y un conjunto de 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debemos eliminar controles de acceso necesitamos un equilibrio entre las políticas y controles de gobernanza global y la posibilidad de dominio y creación de productos. Esto es lo que llamamos gobernanza federada, y en la práctica es fundamental para garantizar la privacidad, el cumplimiento y la posibilidad de escalar.</w:t>
      </w:r>
    </w:p>
    <w:p>
      <w:pPr>
        <w:pStyle w:val="Textoindependiente"/>
      </w:pPr>
    </w:p>
    <w:bookmarkEnd w:id="34"/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2023-08-10T14:51:26Z</dcterms:created>
  <dcterms:modified xsi:type="dcterms:W3CDTF">2023-08-10T14:51:26Z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