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 infraestructura y plataforma en la nube. Dentro de la oferta actual de componentes se pueden encontrar soluciones que permiten garantizar escalabilidad, disponibilidad, cumplimiento regulatorio y menores tiempos de salida al mercado.</w:t>
      </w:r>
    </w:p>
    <w:bookmarkStart w:id="23" w:name="arquitectura-objetivo"/>
    <w:p>
      <w:pPr>
        <w:pStyle w:val="Ttulo3"/>
      </w:pPr>
      <w:r>
        <w:t xml:space="preserve">Arquitectura Objetivo</w:t>
      </w:r>
    </w:p>
    <w:p>
      <w:pPr>
        <w:pStyle w:val="FirstParagraph"/>
      </w:pPr>
      <w:r>
        <w:t xml:space="preserve">En respuesta a las necesidades determinadas en los diagnósticos de Fase I, proponemos una base de infraestructura futura, pero compatible con el contexto actual del FNA. Por tanto, esta propuesta se centra en el estilo de arquitectura SOA mejorado con la malla de servicios y microservicios elásticos (auto escalado).</w:t>
      </w:r>
    </w:p>
    <w:p>
      <w:pPr>
        <w:pStyle w:val="CaptionedFigure"/>
      </w:pPr>
      <w:r>
        <w:drawing>
          <wp:inline>
            <wp:extent cx="5577840" cy="3200400"/>
            <wp:effectExtent b="0" l="0" r="0" t="0"/>
            <wp:docPr descr="Infraestructura de arquitectura mallas de servicios SOA. Característica principal: los servicios elásticos (auto escalado)." title="" id="21" name="Picture"/>
            <a:graphic>
              <a:graphicData uri="http://schemas.openxmlformats.org/drawingml/2006/picture">
                <pic:pic>
                  <pic:nvPicPr>
                    <pic:cNvPr descr="./images/infrimage1.png" id="22" name="Picture"/>
                    <pic:cNvPicPr>
                      <a:picLocks noChangeArrowheads="1" noChangeAspect="1"/>
                    </pic:cNvPicPr>
                  </pic:nvPicPr>
                  <pic:blipFill>
                    <a:blip r:embed="rId20"/>
                    <a:stretch>
                      <a:fillRect/>
                    </a:stretch>
                  </pic:blipFill>
                  <pic:spPr bwMode="auto">
                    <a:xfrm>
                      <a:off x="0" y="0"/>
                      <a:ext cx="5577840" cy="3200400"/>
                    </a:xfrm>
                    <a:prstGeom prst="rect">
                      <a:avLst/>
                    </a:prstGeom>
                    <a:noFill/>
                    <a:ln w="9525">
                      <a:noFill/>
                      <a:headEnd/>
                      <a:tailEnd/>
                    </a:ln>
                  </pic:spPr>
                </pic:pic>
              </a:graphicData>
            </a:graphic>
          </wp:inline>
        </w:drawing>
      </w:r>
    </w:p>
    <w:p>
      <w:pPr>
        <w:pStyle w:val="ImageCaption"/>
      </w:pPr>
      <w:r>
        <w:t xml:space="preserve">Infraestructura de arquitectura mallas de servicios SOA. Característica principal: los servicios elásticos (auto escalado).</w:t>
      </w:r>
    </w:p>
    <w:p>
      <w:pPr>
        <w:pStyle w:val="Textoindependiente"/>
      </w:pPr>
      <w:r>
        <w:t xml:space="preserve">A continuación resaltamos algunas características de interés respecto de los problemas que esta arquitectura soluciona.</w:t>
      </w:r>
    </w:p>
    <w:bookmarkEnd w:id="23"/>
    <w:bookmarkStart w:id="24" w:name="X162cc8fa49fef26fc151ba2ba3218ddc57209ec"/>
    <w:p>
      <w:pPr>
        <w:pStyle w:val="Ttulo3"/>
      </w:pPr>
      <w:r>
        <w:t xml:space="preserve">Características de la Arquitectura Tecnológica 2.0 del FNA</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2023-08-04T03:02:57Z</dcterms:created>
  <dcterms:modified xsi:type="dcterms:W3CDTF">2023-08-04T03:02:57Z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