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1.e3d8524</w:t>
            </w:r>
            <w:r>
              <w:t xml:space="preserve"> </w:t>
            </w:r>
            <w:r>
              <w:t xml:space="preserve">del 28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reune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perspectica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8565444d-a74a-4106-a6eb-9114f72fe177"/>
    <w:p>
      <w:pPr>
        <w:pStyle w:val="CaptionedFigure"/>
      </w:pPr>
      <w:bookmarkStart w:id="25" w:name="fig:"/>
      <w:r>
        <w:drawing>
          <wp:inline>
            <wp:extent cx="5486400" cy="2743200"/>
            <wp:effectExtent b="0" l="0" r="0" t="0"/>
            <wp:docPr descr="Figure 1: Consideraciones de Diseño FNA. Acom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Acomplamiento y Dependencia al proveedor.</w:t>
      </w:r>
    </w:p>
    <w:bookmarkEnd w:id="0"/>
    <w:p>
      <w:pPr>
        <w:pStyle w:val="Textoindependiente"/>
      </w:pPr>
      <w:r>
        <w:t xml:space="preserve">En la imagen: las relaciones directas que los procesos de negocio puedan tener con un proveedor son la causa de dos problemas: el acomplamiento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este problema, solo lo esconde, y por tanto,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de con los que inicia una arquitectura, no representa en realidad a ninguna arquitectura. Es apenas una forma de organización de las partes de un sistema de información, pero no una arquitectura como la conocemos en este contexto.</w:t>
      </w:r>
    </w:p>
    <w:bookmarkStart w:id="0" w:name="fig:1909c8c6-b619-46f6-8e6c-5754e7fb8666"/>
    <w:p>
      <w:pPr>
        <w:pStyle w:val="CaptionedFigure"/>
      </w:pPr>
      <w:bookmarkStart w:id="30" w:name="fig:"/>
      <w:r>
        <w:drawing>
          <wp:inline>
            <wp:extent cx="5486400" cy="2743200"/>
            <wp:effectExtent b="0" l="0" r="0" t="0"/>
            <wp:docPr descr="Figure 2: Consideraciones de Diseño FNA. Acomplamiento y Dependencia al proveedor."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Acomplamiento y Dependencia al proveedor.</w:t>
      </w:r>
    </w:p>
    <w:bookmarkEnd w:id="0"/>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2023-07-28T19:42:04Z</dcterms:created>
  <dcterms:modified xsi:type="dcterms:W3CDTF">2023-07-28T19:42:04Z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