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1.7dca3a6</w:t>
            </w:r>
            <w:r>
              <w:t xml:space="preserve"> </w:t>
            </w:r>
            <w:r>
              <w:t xml:space="preserve">del 03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reúne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perspectiva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arqrefnegativa1.png"/>
    <w:p>
      <w:pPr>
        <w:pStyle w:val="CaptionedFigure"/>
      </w:pPr>
      <w:bookmarkStart w:id="25" w:name="fig:arqrefnegativa1.png"/>
      <w:r>
        <w:drawing>
          <wp:inline>
            <wp:extent cx="5486400" cy="2743200"/>
            <wp:effectExtent b="0" l="0" r="0" t="0"/>
            <wp:docPr descr="Figure 1: Consideraciones de Diseño FNA. Aco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Acoplamiento y Dependencia al proveedor.</w:t>
      </w:r>
    </w:p>
    <w:bookmarkEnd w:id="0"/>
    <w:p>
      <w:pPr>
        <w:pStyle w:val="Textoindependiente"/>
      </w:pPr>
      <w:r>
        <w:t xml:space="preserve">En la imagen: las relaciones directas que los procesos de negocio puedan tener con un proveedor son la causa de dos problemas: el acoplamiento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la complicación del acoplamiento, solo lo soslaya, y al contrario,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con los que inicia una arquitectura, comporta los problemas de la generalidad: no representa en realidad a ninguna arquitectura. Si consideramos a la arquitectura como la elección de una decisión de diseños sobre otra, la separación por capas genéricas no alcanza a realizar nada de eso. Este diseño no profundiza en ningún aspecto o problema a resolver, pero en cambio da la sensación de que sí, y ese es el problema.</w:t>
      </w:r>
    </w:p>
    <w:p>
      <w:pPr>
        <w:pStyle w:val="Textoindependiente"/>
      </w:pPr>
      <w:r>
        <w:t xml:space="preserve">En este diagrama presentamos esta consideración de forma visual. Debemos observar que el diseño de capas sí organiza y prepara a una posterior arquitectura ante un problema, sea de flexibilidad, despliegue, etc., pero no está tomando decisiones más allá de eso.</w:t>
      </w:r>
    </w:p>
    <w:bookmarkStart w:id="0" w:name="fig:arqrefnegativa2.png"/>
    <w:p>
      <w:pPr>
        <w:pStyle w:val="CaptionedFigure"/>
      </w:pPr>
      <w:bookmarkStart w:id="30" w:name="fig:arqrefnegativa2.png"/>
      <w:r>
        <w:drawing>
          <wp:inline>
            <wp:extent cx="5486400" cy="2743200"/>
            <wp:effectExtent b="0" l="0" r="0" t="0"/>
            <wp:docPr descr="Figure 2: Consideraciones de Diseño FNA. Capas genéricas, sin arquitectura. Preparan (organizan) un sistema información, servicio o componente de software para la arquitectura."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Capas genéricas, sin arquitectura. Preparan (organizan) un sistema información, servicio o componente de software para la arquitectura.</w:t>
      </w:r>
    </w:p>
    <w:bookmarkEnd w:id="0"/>
    <w:p>
      <w:pPr>
        <w:pStyle w:val="Textoindependiente"/>
      </w:pPr>
      <w:r>
        <w:t xml:space="preserve">El FNA debe alejarse de los diseños generales que funcionan solamente como una organización base que carece de arquitectura (decisiones). Estos diseños no aportan ni resuelven un problema específico y son apenas una forma de organización de las partes de un sistema de información, pero no una arquitectura como la conocemos en este contexto.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2023-08-03T16:38:03Z</dcterms:created>
  <dcterms:modified xsi:type="dcterms:W3CDTF">2023-08-03T16:38:03Z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