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1.9ec6146</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particular del FNA: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1"/>
        </w:numPr>
        <w:pStyle w:val="Compact"/>
      </w:pPr>
      <w:r>
        <w:t xml:space="preserve">Mejorar proceso de diseño y construcción de soluciones orientadas a servicios</w:t>
      </w:r>
    </w:p>
    <w:p>
      <w:pPr>
        <w:numPr>
          <w:ilvl w:val="0"/>
          <w:numId w:val="1001"/>
        </w:numPr>
        <w:pStyle w:val="Compact"/>
      </w:pPr>
      <w:r>
        <w:t xml:space="preserve">Optimizar el proceso de construcción de soluciones orientadas a servicios</w:t>
      </w:r>
    </w:p>
    <w:p>
      <w:pPr>
        <w:numPr>
          <w:ilvl w:val="0"/>
          <w:numId w:val="1001"/>
        </w:numPr>
        <w:pStyle w:val="Compact"/>
      </w:pPr>
      <w:r>
        <w:t xml:space="preserve">Unificar el proceso de construcción y ofrecer un lenguaje común con el negocio y entidades del sector</w:t>
      </w:r>
    </w:p>
    <w:p>
      <w:pPr>
        <w:numPr>
          <w:ilvl w:val="0"/>
          <w:numId w:val="1001"/>
        </w:numPr>
        <w:pStyle w:val="Compact"/>
      </w:pPr>
      <w:r>
        <w:t xml:space="preserve">Mejorar la oferta de servicios analíticos en el segmento del Fondo Nacional del Ahorro</w:t>
      </w:r>
    </w:p>
    <w:p>
      <w:pPr>
        <w:numPr>
          <w:ilvl w:val="0"/>
          <w:numId w:val="1001"/>
        </w:numPr>
        <w:pStyle w:val="Compact"/>
      </w:pPr>
      <w:r>
        <w:t xml:space="preserve">Incrementar el nivel de utilización de la Tecnología SOA del Fondo Nacional del Ahorro</w:t>
      </w:r>
    </w:p>
    <w:p>
      <w:pPr>
        <w:numPr>
          <w:ilvl w:val="0"/>
          <w:numId w:val="1001"/>
        </w:numPr>
        <w:pStyle w:val="Compact"/>
      </w:pPr>
      <w:r>
        <w:t xml:space="preserve">Soportar la ejecución (rediseño) de los procesos de negocio Fondo Nacional del Ahorro, guiados por la arquitectura 2.0</w:t>
      </w:r>
    </w:p>
    <w:p>
      <w:pPr>
        <w:numPr>
          <w:ilvl w:val="0"/>
          <w:numId w:val="1001"/>
        </w:numPr>
        <w:pStyle w:val="Compact"/>
      </w:pPr>
      <w:r>
        <w:t xml:space="preserve">Mejorar el tiempo de puesta en producción</w:t>
      </w:r>
    </w:p>
    <w:p>
      <w:pPr>
        <w:numPr>
          <w:ilvl w:val="0"/>
          <w:numId w:val="1001"/>
        </w:numPr>
        <w:pStyle w:val="Compact"/>
      </w:pPr>
      <w:r>
        <w:t xml:space="preserve">Modernizar las soluciones orientadas a servicios, mediante la gestión de tecnologías de arquitectura 2.0</w:t>
      </w:r>
    </w:p>
    <w:p>
      <w:pPr>
        <w:numPr>
          <w:ilvl w:val="0"/>
          <w:numId w:val="1001"/>
        </w:numPr>
        <w:pStyle w:val="Compact"/>
      </w:pPr>
      <w:r>
        <w:t xml:space="preserve">Gobierno y gestión de la tecnología orientada a servicios por la arquitectura 2.0</w:t>
      </w:r>
    </w:p>
    <w:p>
      <w:pPr>
        <w:numPr>
          <w:ilvl w:val="0"/>
          <w:numId w:val="1001"/>
        </w:numPr>
        <w:pStyle w:val="Compact"/>
      </w:pPr>
      <w:r>
        <w:t xml:space="preserve">Activar las herramientas de monitoreo de los servicios e indicadores de eficacia y desempeño de los procesos en el marco del Gobierno SOA</w:t>
      </w:r>
    </w:p>
    <w:p>
      <w:pPr>
        <w:numPr>
          <w:ilvl w:val="0"/>
          <w:numId w:val="1001"/>
        </w:numPr>
        <w:pStyle w:val="Compact"/>
      </w:pPr>
      <w:r>
        <w:t xml:space="preserve">Articulación y fortalecimiento del equipo de arquitectura del FNA junto a proveedores Institucionalizar oficina de arquitectura</w:t>
      </w:r>
    </w:p>
    <w:p>
      <w:pPr>
        <w:numPr>
          <w:ilvl w:val="0"/>
          <w:numId w:val="1001"/>
        </w:numPr>
        <w:pStyle w:val="Compact"/>
      </w:pPr>
      <w:r>
        <w:t xml:space="preserve">Estructurar equipo de arquitectos SOA, aplicaciones, TI y datos</w:t>
      </w:r>
    </w:p>
    <w:p>
      <w:pPr>
        <w:numPr>
          <w:ilvl w:val="0"/>
          <w:numId w:val="1001"/>
        </w:numPr>
        <w:pStyle w:val="Compact"/>
      </w:pPr>
      <w:r>
        <w:t xml:space="preserve">Monitoreo de los indicadores de eficacia del portafolio servicios del Fondo Nacional del Ahorro</w:t>
      </w:r>
    </w:p>
    <w:p>
      <w:pPr>
        <w:numPr>
          <w:ilvl w:val="0"/>
          <w:numId w:val="1001"/>
        </w:numPr>
        <w:pStyle w:val="Compact"/>
      </w:pPr>
      <w:r>
        <w:t xml:space="preserve">Mejorar indicadores de eficacia y madurez SOA. Indicadores de cobertura, alineación y flexibilidad de negocio</w:t>
      </w:r>
    </w:p>
    <w:p>
      <w:pPr>
        <w:pStyle w:val="FirstParagraph"/>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2023-08-04T02:47:42Z</dcterms:created>
  <dcterms:modified xsi:type="dcterms:W3CDTF">2023-08-04T02:47:42Z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