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Vistas lógicas y conceptuales de las arquitecturas de referencia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1.7630740</w:t>
            </w:r>
            <w:r>
              <w:t xml:space="preserve"> </w:t>
            </w:r>
            <w:r>
              <w:t xml:space="preserve">del 16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3" w:name="Xc76c05f0d4a72b8715954b097b0e408889e457e"/>
    <w:p>
      <w:pPr>
        <w:pStyle w:val="Ttulo1"/>
      </w:pPr>
      <w:r>
        <w:t xml:space="preserve">Vistas Lógicas y Conceptuales de las Arquitecturas de Referencia del FNA</w:t>
      </w:r>
    </w:p>
    <w:p>
      <w:pPr>
        <w:pStyle w:val="FirstParagraph"/>
      </w:pPr>
      <w:r>
        <w:t xml:space="preserve">En cumplimiento con el alcance (y las restricciones de tiempo del proyecto actual), en esta sección desarrollaremos el conjunto de vistas fundamentales al que llamamos arquitecturas de referencia del FNA.</w:t>
      </w:r>
    </w:p>
    <w:bookmarkStart w:id="22" w:name="X597d6fea2fc61612fa058e8d452892296015baf"/>
    <w:p>
      <w:pPr>
        <w:pStyle w:val="Ttulo2"/>
      </w:pPr>
      <w:r>
        <w:t xml:space="preserve">Arquitectura de Servicios SOA, Versión 2.0: microservicios y malla de servicios</w:t>
      </w:r>
    </w:p>
    <w:p>
      <w:pPr>
        <w:pStyle w:val="FirstParagraph"/>
      </w:pPr>
      <w:r>
        <w:t xml:space="preserve">Tomando como entrada el contexto del FNA, presentamos una organización de componentes que enfrenta las problemáticas identificadas en diagnósticos anteriores (E-Service Fase I</w:t>
      </w:r>
      <w:r>
        <w:t xml:space="preserve"> </w:t>
      </w:r>
      <w:r>
        <w:t xml:space="preserve">[</w:t>
      </w:r>
      <w:hyperlink w:anchor="ref-eservices1">
        <w:r>
          <w:rPr>
            <w:rStyle w:val="Hipervnculo"/>
            <w:bCs/>
            <w:b/>
          </w:rPr>
          <w:t xml:space="preserve">eservices1?</w:t>
        </w:r>
      </w:hyperlink>
      <w:r>
        <w:t xml:space="preserve">]</w:t>
      </w:r>
      <w:r>
        <w:t xml:space="preserve">). Esto es, la siguiente arquitectura de servicios optimiza las siguientes características en beneficio particular del FNA.</w:t>
      </w:r>
    </w:p>
    <w:p>
      <w:pPr>
        <w:pStyle w:val="Textoindependiente"/>
      </w:pPr>
      <w:r>
        <w:t xml:space="preserve">Virtudes que persigue la arquitectura de referencia SOA 2.0 del FNA.</w:t>
      </w:r>
    </w:p>
    <w:p>
      <w:pPr>
        <w:numPr>
          <w:ilvl w:val="0"/>
          <w:numId w:val="1001"/>
        </w:numPr>
        <w:pStyle w:val="Compact"/>
      </w:pPr>
      <w:r>
        <w:t xml:space="preserve">Mejorar la estabilidad, el reintento la tolerancia a fallos y la disponibilidad de servicios SOA y los microservicios del Fondo Nacional mediante el uso de proxy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 con arreglo en el estilo de arquitectura de solución orientada a servicios y a eventos</w:t>
      </w:r>
    </w:p>
    <w:p>
      <w:pPr>
        <w:numPr>
          <w:ilvl w:val="0"/>
          <w:numId w:val="1001"/>
        </w:numPr>
        <w:pStyle w:val="Compact"/>
      </w:pPr>
      <w:r>
        <w:t xml:space="preserve">Independiza las acciones de escalabilidad, seguridad y monitoreo de servicios, de acuerdo con el estilo de arquitectura de solución orientada a servicios</w:t>
      </w:r>
    </w:p>
    <w:p>
      <w:pPr>
        <w:numPr>
          <w:ilvl w:val="0"/>
          <w:numId w:val="1001"/>
        </w:numPr>
        <w:pStyle w:val="Compact"/>
      </w:pPr>
      <w:r>
        <w:t xml:space="preserve">Persigue el esquema de operación de servicios orientados a la nube</w:t>
      </w:r>
    </w:p>
    <w:p>
      <w:pPr>
        <w:numPr>
          <w:ilvl w:val="0"/>
          <w:numId w:val="1001"/>
        </w:numPr>
        <w:pStyle w:val="Compact"/>
      </w:pPr>
      <w:r>
        <w:t xml:space="preserve">Tiene afinidad con el patrón de malla de servicios (service-mesh), Control Plan – Data Plane en la imagen</w:t>
      </w:r>
    </w:p>
    <w:p>
      <w:pPr>
        <w:numPr>
          <w:ilvl w:val="0"/>
          <w:numId w:val="1001"/>
        </w:numPr>
        <w:pStyle w:val="Compact"/>
      </w:pPr>
      <w:r>
        <w:t xml:space="preserve">Mejorar proceso de diseño y construcción de soluciones orientadas a servicios</w:t>
      </w:r>
    </w:p>
    <w:p>
      <w:pPr>
        <w:numPr>
          <w:ilvl w:val="0"/>
          <w:numId w:val="1001"/>
        </w:numPr>
        <w:pStyle w:val="Compact"/>
      </w:pPr>
      <w:r>
        <w:t xml:space="preserve">Optimizar el proceso de construcción de soluciones orientadas a servicios</w:t>
      </w:r>
    </w:p>
    <w:p>
      <w:pPr>
        <w:numPr>
          <w:ilvl w:val="0"/>
          <w:numId w:val="1001"/>
        </w:numPr>
        <w:pStyle w:val="Compact"/>
      </w:pPr>
      <w:r>
        <w:t xml:space="preserve">Unificar el proceso de construcción y ofrecer un lenguaje común con el negocio y entidades del sector</w:t>
      </w:r>
    </w:p>
    <w:p>
      <w:pPr>
        <w:numPr>
          <w:ilvl w:val="0"/>
          <w:numId w:val="1001"/>
        </w:numPr>
        <w:pStyle w:val="Compact"/>
      </w:pPr>
      <w:r>
        <w:t xml:space="preserve">Mejorar la oferta de servicios analíticos en el segmento del Fondo Nacional del Ahorro</w:t>
      </w:r>
    </w:p>
    <w:p>
      <w:pPr>
        <w:numPr>
          <w:ilvl w:val="0"/>
          <w:numId w:val="1001"/>
        </w:numPr>
        <w:pStyle w:val="Compact"/>
      </w:pPr>
      <w:r>
        <w:t xml:space="preserve">Incrementar el nivel de utilización de la Tecnología SOA del Fondo Nacional del Ahorro</w:t>
      </w:r>
    </w:p>
    <w:p>
      <w:pPr>
        <w:numPr>
          <w:ilvl w:val="0"/>
          <w:numId w:val="1001"/>
        </w:numPr>
        <w:pStyle w:val="Compact"/>
      </w:pPr>
      <w:r>
        <w:t xml:space="preserve">Soportar la ejecución (rediseño) de los procesos de negocio Fondo Nacional del Ahorro, guiados por la arquitectura 2.0</w:t>
      </w:r>
    </w:p>
    <w:p>
      <w:pPr>
        <w:numPr>
          <w:ilvl w:val="0"/>
          <w:numId w:val="1001"/>
        </w:numPr>
        <w:pStyle w:val="Compact"/>
      </w:pPr>
      <w:r>
        <w:t xml:space="preserve">Mejorar el tiempo de puesta en producción</w:t>
      </w:r>
    </w:p>
    <w:p>
      <w:pPr>
        <w:numPr>
          <w:ilvl w:val="0"/>
          <w:numId w:val="1001"/>
        </w:numPr>
        <w:pStyle w:val="Compact"/>
      </w:pPr>
      <w:r>
        <w:t xml:space="preserve">Modernizar las soluciones orientadas a servicios, mediante la gestión de tecnologías de arquitectura 2.0</w:t>
      </w:r>
    </w:p>
    <w:p>
      <w:pPr>
        <w:numPr>
          <w:ilvl w:val="0"/>
          <w:numId w:val="1001"/>
        </w:numPr>
        <w:pStyle w:val="Compact"/>
      </w:pPr>
      <w:r>
        <w:t xml:space="preserve">Gobierno y gestión de la tecnología orientada a servicios por la arquitectura 2.0</w:t>
      </w:r>
    </w:p>
    <w:p>
      <w:pPr>
        <w:numPr>
          <w:ilvl w:val="0"/>
          <w:numId w:val="1001"/>
        </w:numPr>
        <w:pStyle w:val="Compact"/>
      </w:pPr>
      <w:r>
        <w:t xml:space="preserve">Activar las herramientas de monitoreo de los servicios e indicadores de eficacia y desempeño de los procesos en el marco del Gobierno SOA</w:t>
      </w:r>
    </w:p>
    <w:p>
      <w:pPr>
        <w:numPr>
          <w:ilvl w:val="0"/>
          <w:numId w:val="1001"/>
        </w:numPr>
        <w:pStyle w:val="Compact"/>
      </w:pPr>
      <w:r>
        <w:t xml:space="preserve">Articulación y fortalecimiento del equipo de arquitectura del FNA junto a proveedores Institucionalizar oficina de arquitectura</w:t>
      </w:r>
    </w:p>
    <w:p>
      <w:pPr>
        <w:numPr>
          <w:ilvl w:val="0"/>
          <w:numId w:val="1001"/>
        </w:numPr>
        <w:pStyle w:val="Compact"/>
      </w:pPr>
      <w:r>
        <w:t xml:space="preserve">Estructurar equipo de arquitectos SOA, aplicaciones, TI y datos</w:t>
      </w:r>
    </w:p>
    <w:p>
      <w:pPr>
        <w:numPr>
          <w:ilvl w:val="0"/>
          <w:numId w:val="1001"/>
        </w:numPr>
        <w:pStyle w:val="Compact"/>
      </w:pPr>
      <w:r>
        <w:t xml:space="preserve">Monitoreo de los indicadores de eficacia del portafolio servicios del Fondo Nacional del Ahorro</w:t>
      </w:r>
    </w:p>
    <w:p>
      <w:pPr>
        <w:numPr>
          <w:ilvl w:val="0"/>
          <w:numId w:val="1001"/>
        </w:numPr>
        <w:pStyle w:val="Compact"/>
      </w:pPr>
      <w:r>
        <w:t xml:space="preserve">Mejorar indicadores de eficacia y madurez SOA. Indicadores de cobertura, alineación y flexibilidad de negocio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2023-08-16T10:54:29Z</dcterms:created>
  <dcterms:modified xsi:type="dcterms:W3CDTF">2023-08-16T10:54:29Z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