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6.png" ContentType="image/png"/>
  <Override PartName="/word/media/rId78.png" ContentType="image/png"/>
  <Override PartName="/word/media/rId73.png" ContentType="image/png"/>
  <Override PartName="/word/media/rId83.png" ContentType="image/png"/>
  <Override PartName="/word/media/rId113.png" ContentType="image/png"/>
  <Override PartName="/word/media/rId118.png" ContentType="image/png"/>
  <Override PartName="/word/media/rId90.png" ContentType="image/png"/>
  <Override PartName="/word/media/rId95.png" ContentType="image/png"/>
  <Override PartName="/word/media/rId99.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STEF@151fd05</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1.151fd05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1.151fd05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1.151fd05</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000c3b21-6c7c-469f-b765-dba205cc9e75"/>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1.151fd05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4568e74c-da8f-40bc-96ca-5ccc226c41ab"/>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13086cff-84c8-465d-90cb-2cdda6b9919a"/>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1.151fd05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1.151fd05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1.151fd05</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ntendimiento de las consideraciones para la implementación de las arquitecturas de referencia del FNA</w:t>
      </w:r>
    </w:p>
    <w:p>
      <w:pPr>
        <w:pStyle w:val="FirstParagraph"/>
      </w:pPr>
    </w:p>
    <w:bookmarkEnd w:id="67"/>
    <w:bookmarkStart w:id="71" w:name="modelo-de-implementación-del-pry02-1"/>
    <w:p>
      <w:pPr>
        <w:pStyle w:val="Ttulo2"/>
      </w:pPr>
      <w:r>
        <w:t xml:space="preserve">Modelo de Implementación del PRY02</w:t>
      </w:r>
    </w:p>
    <w:bookmarkStart w:id="0" w:name="fig:0ed57a1b-ef55-4778-a506-a9a73c7b9207"/>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1.151fd05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1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9"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6" w:name="fig:arqimage1.pn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1"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7"/>
    <w:bookmarkEnd w:id="88"/>
    <w:bookmarkEnd w:id="89"/>
    <w:bookmarkStart w:id="10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4" w:name="pilares-de-la-malla-de-datos-data-mesh"/>
    <w:p>
      <w:pPr>
        <w:pStyle w:val="Ttulo3"/>
      </w:pPr>
      <w:r>
        <w:t xml:space="preserve">Pilares de la Malla de Datos (data mesh)</w:t>
      </w:r>
    </w:p>
    <w:bookmarkStart w:id="0" w:name="fig:8e49e7b6-8330-48d6-aeeb-d5de2d12c92f"/>
    <w:p>
      <w:pPr>
        <w:pStyle w:val="CaptionedFigure"/>
      </w:pPr>
      <w:bookmarkStart w:id="93" w:name="fig:"/>
      <w:r>
        <w:drawing>
          <wp:inline>
            <wp:extent cx="5486400" cy="2743200"/>
            <wp:effectExtent b="0" l="0" r="0" t="0"/>
            <wp:docPr descr="Imagen 8: Malla de datos para el FNA" title="" id="91" name="Picture"/>
            <a:graphic>
              <a:graphicData uri="http://schemas.openxmlformats.org/drawingml/2006/picture">
                <pic:pic>
                  <pic:nvPicPr>
                    <pic:cNvPr descr="images/datimage1.png" id="92" name="Picture"/>
                    <pic:cNvPicPr>
                      <a:picLocks noChangeArrowheads="1" noChangeAspect="1"/>
                    </pic:cNvPicPr>
                  </pic:nvPicPr>
                  <pic:blipFill>
                    <a:blip r:embed="rId90"/>
                    <a:stretch>
                      <a:fillRect/>
                    </a:stretch>
                  </pic:blipFill>
                  <pic:spPr bwMode="auto">
                    <a:xfrm>
                      <a:off x="0" y="0"/>
                      <a:ext cx="5486400" cy="2743200"/>
                    </a:xfrm>
                    <a:prstGeom prst="rect">
                      <a:avLst/>
                    </a:prstGeom>
                    <a:noFill/>
                    <a:ln w="9525">
                      <a:noFill/>
                      <a:headEnd/>
                      <a:tailEnd/>
                    </a:ln>
                  </pic:spPr>
                </pic:pic>
              </a:graphicData>
            </a:graphic>
          </wp:inline>
        </w:drawing>
      </w:r>
      <w:bookmarkEnd w:id="93"/>
    </w:p>
    <w:p>
      <w:pPr>
        <w:pStyle w:val="ImageCaption"/>
      </w:pPr>
      <w:r>
        <w:t xml:space="preserve">Imagen 8: Malla de datos para el FNA</w:t>
      </w:r>
    </w:p>
    <w:bookmarkEnd w:id="0"/>
    <w:bookmarkEnd w:id="94"/>
    <w:bookmarkStart w:id="10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897bcb23-1043-4b60-bd81-6e75c4fd5f22"/>
    <w:p>
      <w:pPr>
        <w:pStyle w:val="CaptionedFigure"/>
      </w:pPr>
      <w:bookmarkStart w:id="98" w:name="fig:"/>
      <w:r>
        <w:drawing>
          <wp:inline>
            <wp:extent cx="5486400" cy="3200400"/>
            <wp:effectExtent b="0" l="0" r="0" t="0"/>
            <wp:docPr descr="Imagen 9: Plano de Datos Objetivo del FNA" title="" id="96" name="Picture"/>
            <a:graphic>
              <a:graphicData uri="http://schemas.openxmlformats.org/drawingml/2006/picture">
                <pic:pic>
                  <pic:nvPicPr>
                    <pic:cNvPr descr="images/datimage2.png" id="97" name="Picture"/>
                    <pic:cNvPicPr>
                      <a:picLocks noChangeArrowheads="1" noChangeAspect="1"/>
                    </pic:cNvPicPr>
                  </pic:nvPicPr>
                  <pic:blipFill>
                    <a:blip r:embed="rId95"/>
                    <a:stretch>
                      <a:fillRect/>
                    </a:stretch>
                  </pic:blipFill>
                  <pic:spPr bwMode="auto">
                    <a:xfrm>
                      <a:off x="0" y="0"/>
                      <a:ext cx="5486400" cy="3200400"/>
                    </a:xfrm>
                    <a:prstGeom prst="rect">
                      <a:avLst/>
                    </a:prstGeom>
                    <a:noFill/>
                    <a:ln w="9525">
                      <a:noFill/>
                      <a:headEnd/>
                      <a:tailEnd/>
                    </a:ln>
                  </pic:spPr>
                </pic:pic>
              </a:graphicData>
            </a:graphic>
          </wp:inline>
        </w:drawing>
      </w:r>
      <w:bookmarkEnd w:id="98"/>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2a3df5f3-aa67-4c08-bcc6-e4655f6a041a"/>
    <w:p>
      <w:pPr>
        <w:pStyle w:val="CaptionedFigure"/>
      </w:pPr>
      <w:bookmarkStart w:id="102" w:name="fig:"/>
      <w:r>
        <w:drawing>
          <wp:inline>
            <wp:extent cx="5486400" cy="2194560"/>
            <wp:effectExtent b="0" l="0" r="0" t="0"/>
            <wp:docPr descr="Imagen 10: Marcos de referencia aplicables a la arquitectura de información" title="" id="100" name="Picture"/>
            <a:graphic>
              <a:graphicData uri="http://schemas.openxmlformats.org/drawingml/2006/picture">
                <pic:pic>
                  <pic:nvPicPr>
                    <pic:cNvPr descr="images/datimage3.png" id="101" name="Picture"/>
                    <pic:cNvPicPr>
                      <a:picLocks noChangeArrowheads="1" noChangeAspect="1"/>
                    </pic:cNvPicPr>
                  </pic:nvPicPr>
                  <pic:blipFill>
                    <a:blip r:embed="rId99"/>
                    <a:stretch>
                      <a:fillRect/>
                    </a:stretch>
                  </pic:blipFill>
                  <pic:spPr bwMode="auto">
                    <a:xfrm>
                      <a:off x="0" y="0"/>
                      <a:ext cx="5486400" cy="2194560"/>
                    </a:xfrm>
                    <a:prstGeom prst="rect">
                      <a:avLst/>
                    </a:prstGeom>
                    <a:noFill/>
                    <a:ln w="9525">
                      <a:noFill/>
                      <a:headEnd/>
                      <a:tailEnd/>
                    </a:ln>
                  </pic:spPr>
                </pic:pic>
              </a:graphicData>
            </a:graphic>
          </wp:inline>
        </w:drawing>
      </w:r>
      <w:bookmarkEnd w:id="102"/>
    </w:p>
    <w:p>
      <w:pPr>
        <w:pStyle w:val="ImageCaption"/>
      </w:pPr>
      <w:r>
        <w:t xml:space="preserve">Imagen 10: Marcos de referencia aplicables a la arquitectura de información</w:t>
      </w:r>
    </w:p>
    <w:bookmarkEnd w:id="0"/>
    <w:bookmarkEnd w:id="103"/>
    <w:bookmarkStart w:id="104"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4"/>
    <w:bookmarkEnd w:id="105"/>
    <w:bookmarkStart w:id="11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0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7" name="Picture"/>
            <a:graphic>
              <a:graphicData uri="http://schemas.openxmlformats.org/drawingml/2006/picture">
                <pic:pic>
                  <pic:nvPicPr>
                    <pic:cNvPr descr="./images/infrimage1.png" id="108" name="Picture"/>
                    <pic:cNvPicPr>
                      <a:picLocks noChangeArrowheads="1" noChangeAspect="1"/>
                    </pic:cNvPicPr>
                  </pic:nvPicPr>
                  <pic:blipFill>
                    <a:blip r:embed="rId10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9"/>
    <w:bookmarkStart w:id="110"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1.151fd05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0"/>
    <w:bookmarkEnd w:id="111"/>
    <w:bookmarkEnd w:id="112"/>
    <w:bookmarkStart w:id="12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6" w:name="fig:arqrefnegativa1.png"/>
      <w:r>
        <w:drawing>
          <wp:inline>
            <wp:extent cx="5486400" cy="2743200"/>
            <wp:effectExtent b="0" l="0" r="0" t="0"/>
            <wp:docPr descr="Imagen 11: Consideraciones de Diseño FNA. Acoplamiento y Dependencia al proveedor." title="" id="114" name="Picture"/>
            <a:graphic>
              <a:graphicData uri="http://schemas.openxmlformats.org/drawingml/2006/picture">
                <pic:pic>
                  <pic:nvPicPr>
                    <pic:cNvPr descr="images/arqrefnegativa1.png" id="115" name="Picture"/>
                    <pic:cNvPicPr>
                      <a:picLocks noChangeArrowheads="1" noChangeAspect="1"/>
                    </pic:cNvPicPr>
                  </pic:nvPicPr>
                  <pic:blipFill>
                    <a:blip r:embed="rId113"/>
                    <a:stretch>
                      <a:fillRect/>
                    </a:stretch>
                  </pic:blipFill>
                  <pic:spPr bwMode="auto">
                    <a:xfrm>
                      <a:off x="0" y="0"/>
                      <a:ext cx="5486400" cy="2743200"/>
                    </a:xfrm>
                    <a:prstGeom prst="rect">
                      <a:avLst/>
                    </a:prstGeom>
                    <a:noFill/>
                    <a:ln w="9525">
                      <a:noFill/>
                      <a:headEnd/>
                      <a:tailEnd/>
                    </a:ln>
                  </pic:spPr>
                </pic:pic>
              </a:graphicData>
            </a:graphic>
          </wp:inline>
        </w:drawing>
      </w:r>
      <w:bookmarkEnd w:id="116"/>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7"/>
    <w:bookmarkStart w:id="122"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21"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9" name="Picture"/>
            <a:graphic>
              <a:graphicData uri="http://schemas.openxmlformats.org/drawingml/2006/picture">
                <pic:pic>
                  <pic:nvPicPr>
                    <pic:cNvPr descr="images/arqrefnegativa2.png" id="120" name="Picture"/>
                    <pic:cNvPicPr>
                      <a:picLocks noChangeArrowheads="1" noChangeAspect="1"/>
                    </pic:cNvPicPr>
                  </pic:nvPicPr>
                  <pic:blipFill>
                    <a:blip r:embed="rId118"/>
                    <a:stretch>
                      <a:fillRect/>
                    </a:stretch>
                  </pic:blipFill>
                  <pic:spPr bwMode="auto">
                    <a:xfrm>
                      <a:off x="0" y="0"/>
                      <a:ext cx="5486400" cy="2743200"/>
                    </a:xfrm>
                    <a:prstGeom prst="rect">
                      <a:avLst/>
                    </a:prstGeom>
                    <a:noFill/>
                    <a:ln w="9525">
                      <a:noFill/>
                      <a:headEnd/>
                      <a:tailEnd/>
                    </a:ln>
                  </pic:spPr>
                </pic:pic>
              </a:graphicData>
            </a:graphic>
          </wp:inline>
        </w:drawing>
      </w:r>
      <w:bookmarkEnd w:id="121"/>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1.151fd05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2"/>
    <w:bookmarkEnd w:id="123"/>
    <w:bookmarkStart w:id="12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2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3"/>
        </w:numPr>
        <w:pStyle w:val="Compact"/>
      </w:pPr>
      <w:r>
        <w:t xml:space="preserve">Mejorar la estabilidad, el reintento la tolerancia a fallos y la disponibilidad de servicios SOA y los microservicios del Fondo Nacional mediante el uso de proxy</w:t>
      </w:r>
    </w:p>
    <w:p>
      <w:pPr>
        <w:numPr>
          <w:ilvl w:val="0"/>
          <w:numId w:val="1013"/>
        </w:numPr>
        <w:pStyle w:val="Compact"/>
      </w:pPr>
      <w:r>
        <w:t xml:space="preserve">Modernizar los mecanismos de orquestación de servicios con arreglo en el estilo de arquitectura de solución orientada a servicios y a eventos</w:t>
      </w:r>
    </w:p>
    <w:p>
      <w:pPr>
        <w:numPr>
          <w:ilvl w:val="0"/>
          <w:numId w:val="1013"/>
        </w:numPr>
        <w:pStyle w:val="Compact"/>
      </w:pPr>
      <w:r>
        <w:t xml:space="preserve">Independiza las acciones de escalabilidad, seguridad y monitoreo de servicios, de acuerdo con el estilo de arquitectura de solución orientada a servicios</w:t>
      </w:r>
    </w:p>
    <w:p>
      <w:pPr>
        <w:numPr>
          <w:ilvl w:val="0"/>
          <w:numId w:val="1013"/>
        </w:numPr>
        <w:pStyle w:val="Compact"/>
      </w:pPr>
      <w:r>
        <w:t xml:space="preserve">Persigue el esquema de operación de servicios orientados a la nube</w:t>
      </w:r>
    </w:p>
    <w:p>
      <w:pPr>
        <w:numPr>
          <w:ilvl w:val="0"/>
          <w:numId w:val="1013"/>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r>
        <w:br w:type="page"/>
      </w:r>
    </w:p>
    <w:bookmarkEnd w:id="124"/>
    <w:bookmarkEnd w:id="125"/>
    <w:bookmarkStart w:id="137" w:name="referencias"/>
    <w:p>
      <w:pPr>
        <w:pStyle w:val="Ttulo1"/>
      </w:pPr>
      <w:r>
        <w:t xml:space="preserve">Referencias</w:t>
      </w:r>
    </w:p>
    <w:bookmarkStart w:id="13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7"/>
    <w:bookmarkStart w:id="12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8"/>
    <w:bookmarkStart w:id="12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9"/>
    <w:bookmarkStart w:id="13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0">
        <w:r>
          <w:rPr>
            <w:rStyle w:val="Hipervnculo"/>
          </w:rPr>
          <w:t xml:space="preserve">https://pubs.opengroup.org/architecture/togaf9-doc/arch/chap27.html</w:t>
        </w:r>
      </w:hyperlink>
    </w:p>
    <w:bookmarkEnd w:id="131"/>
    <w:bookmarkStart w:id="13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0">
        <w:r>
          <w:rPr>
            <w:rStyle w:val="Hipervnculo"/>
          </w:rPr>
          <w:t xml:space="preserve">https://pubs.opengroup.org/architecture/togaf9-doc/arch/chap27.html</w:t>
        </w:r>
      </w:hyperlink>
    </w:p>
    <w:bookmarkEnd w:id="132"/>
    <w:bookmarkStart w:id="13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3">
        <w:r>
          <w:rPr>
            <w:rStyle w:val="Hipervnculo"/>
          </w:rPr>
          <w:t xml:space="preserve">https://hwong23.github.io/fna-dd-f2-e1/</w:t>
        </w:r>
      </w:hyperlink>
    </w:p>
    <w:bookmarkEnd w:id="134"/>
    <w:bookmarkStart w:id="13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3">
        <w:r>
          <w:rPr>
            <w:rStyle w:val="Hipervnculo"/>
          </w:rPr>
          <w:t xml:space="preserve">https://hwong23.github.io/fna-dd-f2-e1/</w:t>
        </w:r>
      </w:hyperlink>
    </w:p>
    <w:bookmarkEnd w:id="135"/>
    <w:bookmarkEnd w:id="136"/>
    <w:bookmarkEnd w:id="13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6" Target="media/rId106.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151fd05694a7e168c80519761885caba5979e193/"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151fd05694a7e168c80519761885caba5979e193/"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2023-08-02T17:18:23Z</dcterms:created>
  <dcterms:modified xsi:type="dcterms:W3CDTF">2023-08-02T17:18:23Z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