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STEF@1841065</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1.1841065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1.1841065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1.1841065</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a089ef04-7705-4ebb-b7e7-f4f1820165f0"/>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a6f90514-53f0-4ef2-8baf-36138cb030b9"/>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04d7bb5f-1a46-48f1-884c-cb2376f485a5"/>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1.1841065</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1-1"/>
    <w:p>
      <w:pPr>
        <w:pStyle w:val="Ttulo2"/>
      </w:pPr>
      <w:r>
        <w:t xml:space="preserve">Modelo de Implementación del PRY01</w:t>
      </w:r>
    </w:p>
    <w:bookmarkStart w:id="0" w:name="fig:f57a8001-9d39-4839-8286-cea068f91b0e"/>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fbce7f4-c872-4d0b-8a28-39c2e76fd364"/>
    <w:p>
      <w:pPr>
        <w:pStyle w:val="CaptionedFigure"/>
      </w:pPr>
      <w:bookmarkStart w:id="76" w:name="fi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73e7b3cb-ec89-4539-a4e0-dbf4548dcbb2"/>
    <w:p>
      <w:pPr>
        <w:pStyle w:val="CaptionedFigure"/>
      </w:pPr>
      <w:bookmarkStart w:id="81" w:name="fi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11130900-ee3c-4b01-b90b-cca1f01dc625"/>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5dfc1616-1638-4aad-8850-8fd5c7b429ee"/>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060dadc2-ef0d-4938-abe8-2b7ca0855373"/>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1.1841065</w:t>
            </w:r>
            <w:r>
              <w:t xml:space="preserve"> </w:t>
            </w:r>
            <w:r>
              <w:t xml:space="preserve">del 02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4"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al estilo de arquitectura de solución orientada a servicios</w:t>
      </w:r>
    </w:p>
    <w:p>
      <w:pPr>
        <w:numPr>
          <w:ilvl w:val="0"/>
          <w:numId w:val="1013"/>
        </w:numPr>
        <w:pStyle w:val="Compact"/>
      </w:pPr>
      <w:r>
        <w:t xml:space="preserve">Persigue el esquemas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184106584e2a3492a63a10f221438b90662ba9b3/"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184106584e2a3492a63a10f221438b90662ba9b3/"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2023-08-02T09:30:36Z</dcterms:created>
  <dcterms:modified xsi:type="dcterms:W3CDTF">2023-08-02T09:30:36Z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