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STEF@2e1f779</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1.2e1f779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1.2e1f779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1.2e1f779</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los elementos mínimos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mantenibilidad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responsabilidades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d96ff59a-bd40-45b2-bbce-0263a452c0d5"/>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8ee7f34b-91e4-49a8-8997-97ab16d8928e"/>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4e374a6f-fe40-44d1-bd10-4b9a1747a779"/>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desmezuradamente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contínua de arquitecturas</w:t>
      </w:r>
    </w:p>
    <w:p>
      <w:pPr>
        <w:numPr>
          <w:ilvl w:val="0"/>
          <w:numId w:val="1006"/>
        </w:numPr>
        <w:pStyle w:val="Compact"/>
      </w:pPr>
      <w:r>
        <w:t xml:space="preserve">Diseños enfocado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1.2e1f779</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5ac96250-1358-4300-9f05-4fbb56810d60"/>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servivios,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arquitecturas del FNA y que implica a las problemáticas diagnósticadas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02e6c3c0-9392-4ea6-afe6-57bf5f62eeae"/>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1a6165c7-6753-4c28-8108-1a2b92d4de28"/>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2ce040f4-fe56-4bda-b063-8873f4952fbb"/>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5247e786-4b11-4704-9a46-fc4e5b3b9173"/>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9748191a-b8a7-41f2-b0d7-89e3ea6326b5"/>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39f3bc51-7c5c-41e9-abc0-b3c880c17429"/>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obetener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gestior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ajustes,recuperación de fallos y backups.</w:t>
      </w:r>
    </w:p>
    <w:p>
      <w:pPr>
        <w:pStyle w:val="Textoindependiente"/>
      </w:pPr>
      <w:r>
        <w:rPr>
          <w:bCs/>
          <w:b/>
        </w:rPr>
        <w:t xml:space="preserve">Integración de sistemas</w:t>
      </w:r>
      <w:r>
        <w:t xml:space="preserve">: A través de un enlace Virtual Private Network (VPN) La funcionalidad se expone a través de 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2e1f779241b2e183e3262cd3364a2469edcd2fe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2e1f779241b2e183e3262cd3364a2469edcd2fe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2023-07-24T22:50:52Z</dcterms:created>
  <dcterms:modified xsi:type="dcterms:W3CDTF">2023-07-24T22:50:52Z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