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46.png" ContentType="image/png"/>
  <Override PartName="/word/media/rId101.png" ContentType="image/png"/>
  <Override PartName="/word/media/rId106.png" ContentType="image/png"/>
  <Override PartName="/word/media/rId111.png" ContentType="image/png"/>
  <Override PartName="/word/media/rId116.png" ContentType="image/png"/>
  <Override PartName="/word/media/rId93.png" ContentType="image/png"/>
  <Override PartName="/word/media/rId82.png" ContentType="image/png"/>
  <Override PartName="/word/media/rId77.png" ContentType="image/png"/>
  <Override PartName="/word/media/rId87.png" ContentType="image/png"/>
  <Override PartName="/word/media/rId153.png" ContentType="image/png"/>
  <Override PartName="/word/media/rId158.png" ContentType="image/png"/>
  <Override PartName="/word/media/rId130.png" ContentType="image/png"/>
  <Override PartName="/word/media/rId135.png" ContentType="image/png"/>
  <Override PartName="/word/media/rId139.png" ContentType="image/png"/>
  <Override PartName="/word/media/rId50.png" ContentType="image/png"/>
  <Override PartName="/word/media/rId54.png" ContentType="image/png"/>
  <Override PartName="/word/media/rId44.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STEF@461f155</w:t>
        </w:r>
      </w:hyperlink>
      <w:r>
        <w:t xml:space="preserve"> </w:t>
      </w:r>
      <w:r>
        <w:t xml:space="preserve">del August 16, 2023.</w:t>
      </w:r>
      <w:r>
        <w:t xml:space="preserve"> </w:t>
      </w:r>
    </w:p>
    <w:p>
      <w:pPr>
        <w:pStyle w:val="Textoindependiente"/>
      </w:pPr>
      <w:r>
        <w:t xml:space="preserve">   </w:t>
      </w:r>
      <w:r>
        <w:rPr>
          <w:bCs/>
          <w:b/>
        </w:rPr>
        <w:t xml:space="preserve">Versión</w:t>
      </w:r>
      <w:r>
        <w:t xml:space="preserve"> </w:t>
      </w:r>
      <w:r>
        <w:t xml:space="preserve">del producto 1.461f155 de 16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1.461f155 del 16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16 Aug 2023</w:t>
      </w:r>
    </w:p>
    <w:p>
      <w:pPr>
        <w:pStyle w:val="Textodebloque"/>
      </w:pPr>
      <w:r>
        <w:rPr>
          <w:bCs/>
          <w:b/>
        </w:rPr>
        <w:t xml:space="preserve">Versión</w:t>
      </w:r>
      <w:r>
        <w:t xml:space="preserve"> </w:t>
      </w:r>
      <w:r>
        <w:t xml:space="preserve">1.461f155</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1f98afe6-8ffb-49ba-b5cf-19786478e276"/>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1.461f155</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de componentes primordiales de estos.</w:t>
      </w:r>
      <w:r>
        <w:t xml:space="preserve"> </w:t>
      </w:r>
      <w:r>
        <w:rPr>
          <w:iCs/>
          <w:i/>
        </w:rPr>
        <w:t xml:space="preserve">Esta último parte es importante: en este contexto, la arquitectura de referencia, distinta de un diseño de solución, no opera sobre artefactos ejecutables específicos de solución</w:t>
      </w:r>
      <w:r>
        <w:t xml:space="preserve"> </w:t>
      </w:r>
      <w:r>
        <w:t xml:space="preserve">(bloques de solución específicos o CBB de TOGAF), sino que lo hace sobre componentes misionales y funcionales del FNA sustentados con</w:t>
      </w:r>
      <w:r>
        <w:t xml:space="preserve"> </w:t>
      </w:r>
      <w:r>
        <w:rPr>
          <w:iCs/>
          <w:i/>
        </w:rPr>
        <w:t xml:space="preserve">decisiones de arquitectura</w:t>
      </w:r>
      <w:r>
        <w:t xml:space="preserve"> </w:t>
      </w:r>
      <w:r>
        <w:t xml:space="preserve">rectoras de la implementación.</w:t>
      </w:r>
    </w:p>
    <w:p>
      <w:pPr>
        <w:pStyle w:val="SourceCode"/>
      </w:pPr>
      <w:r>
        <w:rPr>
          <w:rStyle w:val="VerbatimChar"/>
        </w:rPr>
        <w:t xml:space="preserve">Importante. La arquitectura de referencia, distinta de un diseño de solución, no opera en artefactos ejecutables específicos_, sino que opera sobre componentes funcionales del FNA y se materializa mediante decisiones de arquitectura anteriores a la implementación.</w:t>
      </w:r>
    </w:p>
    <w:p>
      <w:pPr>
        <w:pStyle w:val="FirstParagraph"/>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(dominio) que aplique, ejemplo, microservicios, REST, API, infraestructura, Nube, etc., y favorecer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Arquitectura de Referencia SOA 2.0 del Fondo Nacional del Ahorro.</w:t>
      </w:r>
    </w:p>
    <w:p>
      <w:pPr>
        <w:pStyle w:val="Textoindependiente"/>
      </w:pPr>
    </w:p>
    <w:bookmarkEnd w:id="43"/>
    <w:bookmarkStart w:id="48"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Start w:id="0" w:name="fig:procesosarq.png"/>
    <w:p>
      <w:pPr>
        <w:pStyle w:val="CaptionedFigure"/>
      </w:pPr>
      <w:bookmarkStart w:id="47" w:name="fig:procesosarq.png"/>
      <w:r>
        <w:drawing>
          <wp:inline>
            <wp:extent cx="5600700" cy="3900354"/>
            <wp:effectExtent b="0" l="0" r="0" t="0"/>
            <wp:docPr descr="Imagen 2: Proceso de gobierno de arquitecturas. Adaptado FNA." title="" id="45" name="Picture"/>
            <a:graphic>
              <a:graphicData uri="http://schemas.openxmlformats.org/drawingml/2006/picture">
                <pic:pic>
                  <pic:nvPicPr>
                    <pic:cNvPr descr="images/procesosarq.png" id="46" name="Picture"/>
                    <pic:cNvPicPr>
                      <a:picLocks noChangeArrowheads="1" noChangeAspect="1"/>
                    </pic:cNvPicPr>
                  </pic:nvPicPr>
                  <pic:blipFill>
                    <a:blip r:embed="rId44"/>
                    <a:stretch>
                      <a:fillRect/>
                    </a:stretch>
                  </pic:blipFill>
                  <pic:spPr bwMode="auto">
                    <a:xfrm>
                      <a:off x="0" y="0"/>
                      <a:ext cx="5600700" cy="3900354"/>
                    </a:xfrm>
                    <a:prstGeom prst="rect">
                      <a:avLst/>
                    </a:prstGeom>
                    <a:noFill/>
                    <a:ln w="9525">
                      <a:noFill/>
                      <a:headEnd/>
                      <a:tailEnd/>
                    </a:ln>
                  </pic:spPr>
                </pic:pic>
              </a:graphicData>
            </a:graphic>
          </wp:inline>
        </w:drawing>
      </w:r>
      <w:bookmarkEnd w:id="47"/>
    </w:p>
    <w:p>
      <w:pPr>
        <w:pStyle w:val="ImageCaption"/>
      </w:pPr>
      <w:r>
        <w:t xml:space="preserve">Imagen 2: Proceso de gobierno de arquitecturas. Adaptado FNA.</w:t>
      </w:r>
    </w:p>
    <w:bookmarkEnd w:id="0"/>
    <w:p>
      <w:pPr>
        <w:pStyle w:val="Textoindependiente"/>
      </w:pPr>
    </w:p>
    <w:bookmarkEnd w:id="48"/>
    <w:bookmarkStart w:id="6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9">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images/flujoarqref1.png"/>
    <w:p>
      <w:pPr>
        <w:pStyle w:val="CaptionedFigure"/>
      </w:pPr>
      <w:bookmarkStart w:id="53" w:name="fig:images/flujoarqref1.png"/>
      <w:r>
        <w:drawing>
          <wp:inline>
            <wp:extent cx="5600700" cy="4878524"/>
            <wp:effectExtent b="0" l="0" r="0" t="0"/>
            <wp:docPr descr="Imagen 3: FLARQ03. Flujo de Trabajo de nivel 1 del FNA para el mantenimiento de las arquitecturas de referencia" title="" id="51" name="Picture"/>
            <a:graphic>
              <a:graphicData uri="http://schemas.openxmlformats.org/drawingml/2006/picture">
                <pic:pic>
                  <pic:nvPicPr>
                    <pic:cNvPr descr="images/flujoarqref1.png" id="52" name="Picture"/>
                    <pic:cNvPicPr>
                      <a:picLocks noChangeArrowheads="1" noChangeAspect="1"/>
                    </pic:cNvPicPr>
                  </pic:nvPicPr>
                  <pic:blipFill>
                    <a:blip r:embed="rId50"/>
                    <a:stretch>
                      <a:fillRect/>
                    </a:stretch>
                  </pic:blipFill>
                  <pic:spPr bwMode="auto">
                    <a:xfrm>
                      <a:off x="0" y="0"/>
                      <a:ext cx="5600700" cy="4878524"/>
                    </a:xfrm>
                    <a:prstGeom prst="rect">
                      <a:avLst/>
                    </a:prstGeom>
                    <a:noFill/>
                    <a:ln w="9525">
                      <a:noFill/>
                      <a:headEnd/>
                      <a:tailEnd/>
                    </a:ln>
                  </pic:spPr>
                </pic:pic>
              </a:graphicData>
            </a:graphic>
          </wp:inline>
        </w:drawing>
      </w:r>
      <w:bookmarkEnd w:id="53"/>
    </w:p>
    <w:p>
      <w:pPr>
        <w:pStyle w:val="ImageCaption"/>
      </w:pPr>
      <w:r>
        <w:t xml:space="preserve">Imagen 3: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bd577043-4518-4188-bfda-eeb137ae88fa"/>
    <w:p>
      <w:pPr>
        <w:pStyle w:val="CaptionedFigure"/>
      </w:pPr>
      <w:bookmarkStart w:id="57" w:name="fig:"/>
      <w:r>
        <w:drawing>
          <wp:inline>
            <wp:extent cx="5600700" cy="4573557"/>
            <wp:effectExtent b="0" l="0" r="0" t="0"/>
            <wp:docPr descr="Imagen 4: FLARQ03. Estructura interna del flujo de trabajo FNA para el mantenimiento de las arquitecturas de referencia" title="" id="55" name="Picture"/>
            <a:graphic>
              <a:graphicData uri="http://schemas.openxmlformats.org/drawingml/2006/picture">
                <pic:pic>
                  <pic:nvPicPr>
                    <pic:cNvPr descr="images/flujoarqref2.png" id="56" name="Picture"/>
                    <pic:cNvPicPr>
                      <a:picLocks noChangeArrowheads="1" noChangeAspect="1"/>
                    </pic:cNvPicPr>
                  </pic:nvPicPr>
                  <pic:blipFill>
                    <a:blip r:embed="rId54"/>
                    <a:stretch>
                      <a:fillRect/>
                    </a:stretch>
                  </pic:blipFill>
                  <pic:spPr bwMode="auto">
                    <a:xfrm>
                      <a:off x="0" y="0"/>
                      <a:ext cx="5600700" cy="4573557"/>
                    </a:xfrm>
                    <a:prstGeom prst="rect">
                      <a:avLst/>
                    </a:prstGeom>
                    <a:noFill/>
                    <a:ln w="9525">
                      <a:noFill/>
                      <a:headEnd/>
                      <a:tailEnd/>
                    </a:ln>
                  </pic:spPr>
                </pic:pic>
              </a:graphicData>
            </a:graphic>
          </wp:inline>
        </w:drawing>
      </w:r>
      <w:bookmarkEnd w:id="57"/>
    </w:p>
    <w:p>
      <w:pPr>
        <w:pStyle w:val="ImageCaption"/>
      </w:pPr>
      <w:r>
        <w:t xml:space="preserve">Imagen 4: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8"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8"/>
    <w:bookmarkStart w:id="62"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9"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9"/>
    <w:bookmarkStart w:id="61"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60"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60"/>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1.461f155</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End w:id="62"/>
    <w:bookmarkEnd w:id="63"/>
    <w:bookmarkStart w:id="6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 FNA</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1.461f155</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4"/>
    <w:bookmarkStart w:id="65"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5"/>
    <w:bookmarkStart w:id="68"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7"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6"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6"/>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16 Aug 2023</w:t>
      </w:r>
    </w:p>
    <w:p>
      <w:pPr>
        <w:pStyle w:val="Textodebloque"/>
      </w:pPr>
      <w:r>
        <w:rPr>
          <w:bCs/>
          <w:b/>
        </w:rPr>
        <w:t xml:space="preserve">Versión</w:t>
      </w:r>
      <w:r>
        <w:t xml:space="preserve"> </w:t>
      </w:r>
      <w:r>
        <w:t xml:space="preserve">1.461f155</w:t>
      </w:r>
    </w:p>
    <w:p>
      <w:pPr>
        <w:pStyle w:val="FirstParagraph"/>
      </w:pPr>
    </w:p>
    <w:bookmarkEnd w:id="67"/>
    <w:bookmarkEnd w:id="68"/>
    <w:bookmarkStart w:id="76"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9"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9"/>
    <w:bookmarkStart w:id="70"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70"/>
    <w:bookmarkStart w:id="71"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Entendimiento de las consideraciones para la implementación de las arquitecturas de referencia del FNA</w:t>
      </w:r>
    </w:p>
    <w:p>
      <w:pPr>
        <w:pStyle w:val="FirstParagraph"/>
      </w:pPr>
    </w:p>
    <w:bookmarkEnd w:id="71"/>
    <w:bookmarkStart w:id="75" w:name="modelo-de-implementación-del-pry02-1"/>
    <w:p>
      <w:pPr>
        <w:pStyle w:val="Ttulo2"/>
      </w:pPr>
      <w:r>
        <w:t xml:space="preserve">Modelo de Implementación del PRY02</w:t>
      </w:r>
    </w:p>
    <w:bookmarkStart w:id="0" w:name="fig:115fc592-80ee-4851-a927-85c54911a955"/>
    <w:p>
      <w:pPr>
        <w:pStyle w:val="CaptionedFigure"/>
      </w:pPr>
      <w:bookmarkStart w:id="74" w:name="fig:"/>
      <w:r>
        <w:drawing>
          <wp:inline>
            <wp:extent cx="5600700" cy="4264411"/>
            <wp:effectExtent b="0" l="0" r="0" t="0"/>
            <wp:docPr descr="Imagen 5: Plan de Implementación del Proyecto Hoja de Ruta E-Service FNA, 2023. Abril 2023 a Agosto 2023" title="" id="72" name="Picture"/>
            <a:graphic>
              <a:graphicData uri="http://schemas.openxmlformats.org/drawingml/2006/picture">
                <pic:pic>
                  <pic:nvPicPr>
                    <pic:cNvPr descr="images/pry2.png" id="73"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4"/>
    </w:p>
    <w:p>
      <w:pPr>
        <w:pStyle w:val="ImageCaption"/>
      </w:pPr>
      <w:r>
        <w:t xml:space="preserve">Imagen 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1.461f155</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5"/>
    <w:bookmarkEnd w:id="76"/>
    <w:bookmarkStart w:id="15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100" w:name="dominio-de-servicios-y-aplicaciones-fna"/>
    <w:p>
      <w:pPr>
        <w:pStyle w:val="Ttulo2"/>
      </w:pPr>
      <w:r>
        <w:t xml:space="preserve">Dominio de Servicios y Aplicaciones FNA</w:t>
      </w:r>
    </w:p>
    <w:bookmarkStart w:id="81"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80" w:name="fig:arqimage1.png"/>
      <w:r>
        <w:drawing>
          <wp:inline>
            <wp:extent cx="5600700" cy="3267074"/>
            <wp:effectExtent b="0" l="0" r="0" t="0"/>
            <wp:docPr descr="Imagen 6: Fondo Nacional del Ahorro - Vista general de arquitectura actual" title="" id="78" name="Picture"/>
            <a:graphic>
              <a:graphicData uri="http://schemas.openxmlformats.org/drawingml/2006/picture">
                <pic:pic>
                  <pic:nvPicPr>
                    <pic:cNvPr descr="images/arqimage1.png" id="79" name="Picture"/>
                    <pic:cNvPicPr>
                      <a:picLocks noChangeArrowheads="1" noChangeAspect="1"/>
                    </pic:cNvPicPr>
                  </pic:nvPicPr>
                  <pic:blipFill>
                    <a:blip r:embed="rId77"/>
                    <a:stretch>
                      <a:fillRect/>
                    </a:stretch>
                  </pic:blipFill>
                  <pic:spPr bwMode="auto">
                    <a:xfrm>
                      <a:off x="0" y="0"/>
                      <a:ext cx="5600700" cy="3267074"/>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actual</w:t>
      </w:r>
    </w:p>
    <w:bookmarkEnd w:id="0"/>
    <w:p>
      <w:pPr>
        <w:pStyle w:val="Textoindependiente"/>
      </w:pPr>
    </w:p>
    <w:bookmarkEnd w:id="81"/>
    <w:bookmarkStart w:id="92"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6"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5" w:name="fig:arqimage1.1.png"/>
      <w:r>
        <w:drawing>
          <wp:inline>
            <wp:extent cx="5600700" cy="3015761"/>
            <wp:effectExtent b="0" l="0" r="0" t="0"/>
            <wp:docPr descr="Imagen 7: Fondo Nacional del Ahorro - Vista general de arquitectura de referencia. Nivel de detalle 1. Separación de segmentos de la arquitectura de referencia del FNA." title="" id="83" name="Picture"/>
            <a:graphic>
              <a:graphicData uri="http://schemas.openxmlformats.org/drawingml/2006/picture">
                <pic:pic>
                  <pic:nvPicPr>
                    <pic:cNvPr descr="images/arqimage1.1.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es asimilable como el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6"/>
    <w:bookmarkStart w:id="91"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90" w:name="fig:arqimage2.png"/>
      <w:r>
        <w:drawing>
          <wp:inline>
            <wp:extent cx="5600700" cy="3015761"/>
            <wp:effectExtent b="0" l="0" r="0" t="0"/>
            <wp:docPr descr="Imagen 8: Fondo Nacional del Ahorro - Vista general de arquitectura de referencia. Nivel de detalle 2. Separación de subsegmentos de la arquitectura de referencia del FNA." title="" id="88" name="Picture"/>
            <a:graphic>
              <a:graphicData uri="http://schemas.openxmlformats.org/drawingml/2006/picture">
                <pic:pic>
                  <pic:nvPicPr>
                    <pic:cNvPr descr="images/arqimage2.png" id="89" name="Picture"/>
                    <pic:cNvPicPr>
                      <a:picLocks noChangeArrowheads="1" noChangeAspect="1"/>
                    </pic:cNvPicPr>
                  </pic:nvPicPr>
                  <pic:blipFill>
                    <a:blip r:embed="rId87"/>
                    <a:stretch>
                      <a:fillRect/>
                    </a:stretch>
                  </pic:blipFill>
                  <pic:spPr bwMode="auto">
                    <a:xfrm>
                      <a:off x="0" y="0"/>
                      <a:ext cx="5600700" cy="3015761"/>
                    </a:xfrm>
                    <a:prstGeom prst="rect">
                      <a:avLst/>
                    </a:prstGeom>
                    <a:noFill/>
                    <a:ln w="9525">
                      <a:noFill/>
                      <a:headEnd/>
                      <a:tailEnd/>
                    </a:ln>
                  </pic:spPr>
                </pic:pic>
              </a:graphicData>
            </a:graphic>
          </wp:inline>
        </w:drawing>
      </w:r>
      <w:bookmarkEnd w:id="90"/>
    </w:p>
    <w:p>
      <w:pPr>
        <w:pStyle w:val="ImageCaption"/>
      </w:pPr>
      <w:r>
        <w:t xml:space="preserve">Imagen 8: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91"/>
    <w:bookmarkEnd w:id="92"/>
    <w:bookmarkStart w:id="98" w:name="X3d2c9767e2775fc019e8732887eceef34694eef"/>
    <w:p>
      <w:pPr>
        <w:pStyle w:val="Ttulo3"/>
      </w:pPr>
      <w:r>
        <w:t xml:space="preserve">ARQREF0. Vista Funcional de la Arquitectura de Referencia 2.0. Servicios y Aplicaciones</w:t>
      </w:r>
    </w:p>
    <w:p>
      <w:pPr>
        <w:pStyle w:val="FirstParagraph"/>
      </w:pPr>
      <w:r>
        <w:t xml:space="preserve">Presentamos la primera versión del modelo de referencia del dominio de servicios y aplicaciones 2.0 del FNA. El modelo queda representado en la siguiente vista funcional.</w:t>
      </w:r>
    </w:p>
    <w:bookmarkStart w:id="0" w:name="fig:ARQREF0.png"/>
    <w:p>
      <w:pPr>
        <w:pStyle w:val="CaptionedFigure"/>
      </w:pPr>
      <w:bookmarkStart w:id="96" w:name="fig:ARQREF0.png"/>
      <w:r>
        <w:drawing>
          <wp:inline>
            <wp:extent cx="5600700" cy="4251822"/>
            <wp:effectExtent b="0" l="0" r="0" t="0"/>
            <wp:docPr descr="Imagen 9: Fondo Nacional del Ahorro - Arquitectura de Referencia 2.0. Vista funcional del dominio de servicios y aplicaciones del FNA." title="" id="94" name="Picture"/>
            <a:graphic>
              <a:graphicData uri="http://schemas.openxmlformats.org/drawingml/2006/picture">
                <pic:pic>
                  <pic:nvPicPr>
                    <pic:cNvPr descr="images/ARQREF0.png" id="95" name="Picture"/>
                    <pic:cNvPicPr>
                      <a:picLocks noChangeArrowheads="1" noChangeAspect="1"/>
                    </pic:cNvPicPr>
                  </pic:nvPicPr>
                  <pic:blipFill>
                    <a:blip r:embed="rId93"/>
                    <a:stretch>
                      <a:fillRect/>
                    </a:stretch>
                  </pic:blipFill>
                  <pic:spPr bwMode="auto">
                    <a:xfrm>
                      <a:off x="0" y="0"/>
                      <a:ext cx="5600700" cy="4251822"/>
                    </a:xfrm>
                    <a:prstGeom prst="rect">
                      <a:avLst/>
                    </a:prstGeom>
                    <a:noFill/>
                    <a:ln w="9525">
                      <a:noFill/>
                      <a:headEnd/>
                      <a:tailEnd/>
                    </a:ln>
                  </pic:spPr>
                </pic:pic>
              </a:graphicData>
            </a:graphic>
          </wp:inline>
        </w:drawing>
      </w:r>
      <w:bookmarkEnd w:id="96"/>
    </w:p>
    <w:p>
      <w:pPr>
        <w:pStyle w:val="ImageCaption"/>
      </w:pPr>
      <w:r>
        <w:t xml:space="preserve">Imagen 9: Fondo Nacional del Ahorro - Arquitectura de Referencia 2.0. Vista funcional del dominio de servicios y aplicaciones del FNA.</w:t>
      </w:r>
    </w:p>
    <w:bookmarkEnd w:id="0"/>
    <w:p>
      <w:pPr>
        <w:pStyle w:val="Textoindependiente"/>
      </w:pPr>
      <w:r>
        <w:t xml:space="preserve">El modelo funcional de la arquitectura de referencia del FNA está organizado en los siguientes segmentos de arquitectura.</w:t>
      </w:r>
    </w:p>
    <w:bookmarkStart w:id="97" w:name="X4d247192c4281d55f0d465dd24dd72c737e5a73"/>
    <w:p>
      <w:pPr>
        <w:pStyle w:val="Ttulo4"/>
      </w:pPr>
      <w:r>
        <w:t xml:space="preserve">Segmentos del Modelo Funcional de la Arquitectura de Referencia</w:t>
      </w:r>
    </w:p>
    <w:p>
      <w:pPr>
        <w:numPr>
          <w:ilvl w:val="0"/>
          <w:numId w:val="1013"/>
        </w:numPr>
        <w:pStyle w:val="Compact"/>
      </w:pPr>
      <w:r>
        <w:t xml:space="preserve">Canales. Sitios físicos o electrónicos en relación con los clientes.</w:t>
      </w:r>
    </w:p>
    <w:p>
      <w:pPr>
        <w:numPr>
          <w:ilvl w:val="0"/>
          <w:numId w:val="1013"/>
        </w:numPr>
        <w:pStyle w:val="Compact"/>
      </w:pPr>
      <w:r>
        <w:t xml:space="preserve">Intermediación con Clientes. Medio físicos o electrónicos de interoperatividad del FNA con los clientes.</w:t>
      </w:r>
    </w:p>
    <w:p>
      <w:pPr>
        <w:numPr>
          <w:ilvl w:val="0"/>
          <w:numId w:val="1013"/>
        </w:numPr>
        <w:pStyle w:val="Compact"/>
      </w:pPr>
      <w:r>
        <w:t xml:space="preserve">Intermediación con Gobierno Nacional. Medio físicos o electrónicos de interoperatividad del FNA con entidades del Estado, como la Superintendencia Financiera de Colombia, Min Hacienda y MinTIC.</w:t>
      </w:r>
    </w:p>
    <w:p>
      <w:pPr>
        <w:numPr>
          <w:ilvl w:val="0"/>
          <w:numId w:val="1013"/>
        </w:numPr>
        <w:pStyle w:val="Compact"/>
      </w:pPr>
      <w:r>
        <w:t xml:space="preserve">Productos de la Empresa al Cliente. Productos de negocio ofertados, relación con clientes. Son colecciones de servicios que funcionan como una unidad.</w:t>
      </w:r>
    </w:p>
    <w:p>
      <w:pPr>
        <w:numPr>
          <w:ilvl w:val="0"/>
          <w:numId w:val="1013"/>
        </w:numPr>
        <w:pStyle w:val="Compact"/>
      </w:pPr>
      <w:r>
        <w:t xml:space="preserve">Trámites (procedimientos documentales) FNA. Procesos relacionados con los productos o clientes del FNA. Basados en documentación física o digital. Ejemplo, trámite de afiliaciones y retiros, el retiro de cesantías, aperturas, etc.</w:t>
      </w:r>
    </w:p>
    <w:p>
      <w:pPr>
        <w:numPr>
          <w:ilvl w:val="0"/>
          <w:numId w:val="1013"/>
        </w:numPr>
        <w:pStyle w:val="Compact"/>
      </w:pPr>
      <w:r>
        <w:t xml:space="preserve">Transacciones FNA. Unidades de intercambio de beneficios y registros de Crédito, Cartera, Garantías, Cuenta AVC.</w:t>
      </w:r>
    </w:p>
    <w:p>
      <w:pPr>
        <w:numPr>
          <w:ilvl w:val="0"/>
          <w:numId w:val="1013"/>
        </w:numPr>
        <w:pStyle w:val="Compact"/>
      </w:pPr>
      <w:r>
        <w:t xml:space="preserve">Actividad regulatoria del FNA. Procesos de intercambio de funciones regulatorias o sancionatorias e intercambio de información de seguridad debida al cumplimiento exigido por el Gobierno Nacional.</w:t>
      </w:r>
    </w:p>
    <w:p>
      <w:pPr>
        <w:numPr>
          <w:ilvl w:val="0"/>
          <w:numId w:val="1013"/>
        </w:numPr>
        <w:pStyle w:val="Compact"/>
      </w:pPr>
      <w:r>
        <w:t xml:space="preserve">Fuentes de Información Referencial Transaccional. Acceso a información requerida por las transacciones del FNA, como listas blancas, seguros, Registraduría.</w:t>
      </w:r>
    </w:p>
    <w:p>
      <w:pPr>
        <w:numPr>
          <w:ilvl w:val="0"/>
          <w:numId w:val="1013"/>
        </w:numPr>
        <w:pStyle w:val="Compact"/>
      </w:pPr>
      <w:r>
        <w:t xml:space="preserve">Fuentes de Información Provistas. Exposición de entidades y componentes de datos (reportes, esquemas, archivos…) al Bco. de la República, Ministerios, entre otros.</w:t>
      </w:r>
    </w:p>
    <w:p>
      <w:pPr>
        <w:numPr>
          <w:ilvl w:val="0"/>
          <w:numId w:val="1013"/>
        </w:numPr>
        <w:pStyle w:val="Compact"/>
      </w:pPr>
      <w:r>
        <w:t xml:space="preserve">Fuentes de Información Referencial Pública. Acceso a datos de entidades públicas, como Formatos de Ministerios, Registros de Asobancos, tasas del Bco. de la República.</w:t>
      </w:r>
    </w:p>
    <w:p>
      <w:pPr>
        <w:numPr>
          <w:ilvl w:val="0"/>
          <w:numId w:val="1013"/>
        </w:numPr>
        <w:pStyle w:val="Compact"/>
      </w:pPr>
      <w:r>
        <w:t xml:space="preserve">Procesamiento de información. Procesamiento de lotes diario o eventual del FNA, como contabilidad, elaboración de certificados, envío de mensajes electrónicos, descarga de información, emisión de documentos digitales, indexaciones, etc.</w:t>
      </w:r>
    </w:p>
    <w:p>
      <w:pPr>
        <w:pStyle w:val="FirstParagraph"/>
      </w:pPr>
    </w:p>
    <w:bookmarkEnd w:id="97"/>
    <w:bookmarkEnd w:id="98"/>
    <w:bookmarkStart w:id="99" w:name="elementos-de-la-vista-funcional"/>
    <w:p>
      <w:pPr>
        <w:pStyle w:val="Ttulo3"/>
      </w:pPr>
      <w:r>
        <w:t xml:space="preserve">Elementos de la Vista Funcional</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Ext - Banlínea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Banca Virtual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Aplicación Web - Scoring</w:t>
            </w:r>
          </w:p>
        </w:tc>
        <w:tc>
          <w:tcPr/>
          <w:p>
            <w:pPr>
              <w:pStyle w:val="Compact"/>
              <w:jc w:val="left"/>
            </w:pPr>
            <w:r>
              <w:t xml:space="preserve">application-component</w:t>
            </w:r>
          </w:p>
        </w:tc>
        <w:tc>
          <w:tcPr/>
          <w:p>
            <w:pPr>
              <w:pStyle w:val="Compact"/>
            </w:pPr>
          </w:p>
        </w:tc>
        <w:tc>
          <w:tcPr/>
          <w:p>
            <w:pPr>
              <w:pStyle w:val="Compact"/>
              <w:jc w:val="left"/>
            </w:pPr>
            <w:r>
              <w:rPr>
                <w:iCs/>
                <w:i/>
              </w:rPr>
              <w:t xml:space="preserve">alcanceSOA:</w:t>
            </w:r>
            <w:r>
              <w:t xml:space="preserve"> </w:t>
            </w:r>
            <w:r>
              <w:t xml:space="preserve">Fase 1.1</w:t>
            </w:r>
          </w:p>
        </w:tc>
      </w:tr>
      <w:tr>
        <w:tc>
          <w:tcPr/>
          <w:p>
            <w:pPr>
              <w:pStyle w:val="Compact"/>
              <w:jc w:val="left"/>
            </w:pPr>
            <w:r>
              <w:rPr>
                <w:bCs/>
                <w:b/>
              </w:rPr>
              <w:t xml:space="preserve">Aplicación Web - Simuladores (JBoss EAP)</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Atención al 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BBVA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Caja y Bancos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COBIS - Presupuesto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Digital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Deceval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FNA Móvil Ágil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Mi Vivienda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Activos Fijos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Contabilidad</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SAP - Facturación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Central API</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XML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Central Interface de Aplicación</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Firma Local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Intercomunicación compatible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REST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API graphicQL</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Mensajes HTTP</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Portafolio XRoad</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cob_ahorros..sp_puntuacionAV</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ahorros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cob_credito..sp_utilidades_intranet</w:t>
            </w:r>
            <w:r>
              <w:rPr>
                <w:bCs/>
                <w:b/>
              </w:rPr>
              <w:t xml:space="preserve"> </w:t>
            </w:r>
            <w:r>
              <w:rPr>
                <w:bCs/>
                <w:b/>
              </w:rPr>
              <w:t xml:space="preserve">‘</w:t>
            </w:r>
            <w:r>
              <w:rPr>
                <w:bCs/>
                <w:b/>
              </w:rPr>
              <w:t xml:space="preserve">clientes</w:t>
            </w:r>
            <w:r>
              <w:rPr>
                <w:bCs/>
                <w:b/>
              </w:rPr>
              <w:t xml:space="preserv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Bolsa Valores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CRM</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Clientes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Consumo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Cuenta AVC</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Finanzas</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business-service</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Actividad regulatorioas del FNA</w:t>
            </w:r>
          </w:p>
        </w:tc>
        <w:tc>
          <w:tcPr/>
          <w:p>
            <w:pPr>
              <w:pStyle w:val="Compact"/>
              <w:jc w:val="left"/>
            </w:pPr>
            <w:r>
              <w:t xml:space="preserve">grouping</w:t>
            </w:r>
          </w:p>
        </w:tc>
        <w:tc>
          <w:tcPr/>
          <w:p>
            <w:pPr>
              <w:pStyle w:val="Compact"/>
              <w:jc w:val="left"/>
            </w:pPr>
            <w:r>
              <w:t xml:space="preserve">Procesos de intercambio de funciones regulatorias o sancionatorias e intercambio de información de seguridad debida al cumplimiento exigido por el Gobierno Nacional.</w:t>
            </w: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Fuentes de Información Provistas</w:t>
            </w:r>
          </w:p>
        </w:tc>
        <w:tc>
          <w:tcPr/>
          <w:p>
            <w:pPr>
              <w:pStyle w:val="Compact"/>
              <w:jc w:val="left"/>
            </w:pPr>
            <w:r>
              <w:t xml:space="preserve">grouping</w:t>
            </w:r>
          </w:p>
        </w:tc>
        <w:tc>
          <w:tcPr/>
          <w:p>
            <w:pPr>
              <w:pStyle w:val="Compact"/>
              <w:jc w:val="left"/>
            </w:pPr>
            <w:r>
              <w:t xml:space="preserve">Exposición de entidades y componentes de datos (reportes, esquemas, archivos…) al Bco. de la República, Ministerios, entre otros.</w:t>
            </w:r>
          </w:p>
        </w:tc>
        <w:tc>
          <w:tcPr/>
          <w:p>
            <w:pPr>
              <w:pStyle w:val="Compact"/>
            </w:pPr>
          </w:p>
        </w:tc>
      </w:tr>
      <w:tr>
        <w:tc>
          <w:tcPr/>
          <w:p>
            <w:pPr>
              <w:pStyle w:val="Compact"/>
              <w:jc w:val="left"/>
            </w:pPr>
            <w:r>
              <w:rPr>
                <w:bCs/>
                <w:b/>
              </w:rPr>
              <w:t xml:space="preserve">Fuentes de Información Referencial Pública</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Fuentes de Información Referencial Transaccional</w:t>
            </w:r>
          </w:p>
        </w:tc>
        <w:tc>
          <w:tcPr/>
          <w:p>
            <w:pPr>
              <w:pStyle w:val="Compact"/>
              <w:jc w:val="left"/>
            </w:pPr>
            <w:r>
              <w:t xml:space="preserve">grouping</w:t>
            </w:r>
          </w:p>
        </w:tc>
        <w:tc>
          <w:tcPr/>
          <w:p>
            <w:pPr>
              <w:pStyle w:val="Compact"/>
              <w:jc w:val="left"/>
            </w:pPr>
            <w:r>
              <w:t xml:space="preserve">Acceso a datos de entidades públicas, como Formatos de Ministerios, Registros de Asobancos, tasas del Bco. de la República.</w:t>
            </w:r>
          </w:p>
        </w:tc>
        <w:tc>
          <w:tcPr/>
          <w:p>
            <w:pPr>
              <w:pStyle w:val="Compact"/>
            </w:pPr>
          </w:p>
        </w:tc>
      </w:tr>
      <w:tr>
        <w:tc>
          <w:tcPr/>
          <w:p>
            <w:pPr>
              <w:pStyle w:val="Compact"/>
              <w:jc w:val="left"/>
            </w:pPr>
            <w:r>
              <w:rPr>
                <w:bCs/>
                <w:b/>
              </w:rPr>
              <w:t xml:space="preserve">Intermediación con Clientes</w:t>
            </w:r>
          </w:p>
        </w:tc>
        <w:tc>
          <w:tcPr/>
          <w:p>
            <w:pPr>
              <w:pStyle w:val="Compact"/>
              <w:jc w:val="left"/>
            </w:pPr>
            <w:r>
              <w:t xml:space="preserve">grouping</w:t>
            </w:r>
          </w:p>
        </w:tc>
        <w:tc>
          <w:tcPr/>
          <w:p>
            <w:pPr>
              <w:pStyle w:val="Compact"/>
              <w:jc w:val="left"/>
            </w:pPr>
            <w:r>
              <w:t xml:space="preserve">Medio físicos o electrónicos de interoperatividad del FNA con los clientes.</w:t>
            </w:r>
          </w:p>
        </w:tc>
        <w:tc>
          <w:tcPr/>
          <w:p>
            <w:pPr>
              <w:pStyle w:val="Compact"/>
            </w:pPr>
          </w:p>
        </w:tc>
      </w:tr>
      <w:tr>
        <w:tc>
          <w:tcPr/>
          <w:p>
            <w:pPr>
              <w:pStyle w:val="Compact"/>
              <w:jc w:val="left"/>
            </w:pPr>
            <w:r>
              <w:rPr>
                <w:bCs/>
                <w:b/>
              </w:rPr>
              <w:t xml:space="preserve">Intermediación con Gobierno Nacional</w:t>
            </w:r>
          </w:p>
        </w:tc>
        <w:tc>
          <w:tcPr/>
          <w:p>
            <w:pPr>
              <w:pStyle w:val="Compact"/>
              <w:jc w:val="left"/>
            </w:pPr>
            <w:r>
              <w:t xml:space="preserve">grouping</w:t>
            </w:r>
          </w:p>
        </w:tc>
        <w:tc>
          <w:tcPr/>
          <w:p>
            <w:pPr>
              <w:pStyle w:val="Compact"/>
              <w:jc w:val="left"/>
            </w:pPr>
            <w:r>
              <w:t xml:space="preserve">Superintendencia Financiera Col.</w:t>
            </w:r>
            <w:r>
              <w:t xml:space="preserve">Min Hacienda</w:t>
            </w:r>
            <w:r>
              <w:t xml:space="preserve">MinTIC</w:t>
            </w:r>
          </w:p>
        </w:tc>
        <w:tc>
          <w:tcPr/>
          <w:p>
            <w:pPr>
              <w:pStyle w:val="Compact"/>
            </w:pPr>
          </w:p>
        </w:tc>
      </w:tr>
      <w:tr>
        <w:tc>
          <w:tcPr/>
          <w:p>
            <w:pPr>
              <w:pStyle w:val="Compact"/>
              <w:jc w:val="left"/>
            </w:pPr>
            <w:r>
              <w:rPr>
                <w:bCs/>
                <w:b/>
              </w:rPr>
              <w:t xml:space="preserve">Procesamiento de información</w:t>
            </w:r>
          </w:p>
        </w:tc>
        <w:tc>
          <w:tcPr/>
          <w:p>
            <w:pPr>
              <w:pStyle w:val="Compact"/>
              <w:jc w:val="left"/>
            </w:pPr>
            <w:r>
              <w:t xml:space="preserve">grouping</w:t>
            </w:r>
          </w:p>
        </w:tc>
        <w:tc>
          <w:tcPr/>
          <w:p>
            <w:pPr>
              <w:pStyle w:val="Compact"/>
              <w:jc w:val="left"/>
            </w:pPr>
            <w:r>
              <w:t xml:space="preserve">Procesamiento de lotes diario o eventual del FNA, como contabilidad, elaboración de certificados, envío de mensajes electrónicos, descarga de información, emisión de documentos digitales, indexaciones, etc.</w:t>
            </w:r>
          </w:p>
        </w:tc>
        <w:tc>
          <w:tcPr/>
          <w:p>
            <w:pPr>
              <w:pStyle w:val="Compact"/>
            </w:pPr>
          </w:p>
        </w:tc>
      </w:tr>
      <w:tr>
        <w:tc>
          <w:tcPr/>
          <w:p>
            <w:pPr>
              <w:pStyle w:val="Compact"/>
              <w:jc w:val="left"/>
            </w:pPr>
            <w:r>
              <w:rPr>
                <w:bCs/>
                <w:b/>
              </w:rPr>
              <w:t xml:space="preserve">Productos de la Empresa al Cliente</w:t>
            </w:r>
          </w:p>
        </w:tc>
        <w:tc>
          <w:tcPr/>
          <w:p>
            <w:pPr>
              <w:pStyle w:val="Compact"/>
              <w:jc w:val="left"/>
            </w:pPr>
            <w:r>
              <w:t xml:space="preserve">grouping</w:t>
            </w:r>
          </w:p>
        </w:tc>
        <w:tc>
          <w:tcPr/>
          <w:p>
            <w:pPr>
              <w:pStyle w:val="Compact"/>
              <w:jc w:val="left"/>
            </w:pPr>
            <w:r>
              <w:t xml:space="preserve">Productos de negocio ofertados, relación con clientes. Son colecciones de servicios que funcionan como una unidad.</w:t>
            </w:r>
          </w:p>
        </w:tc>
        <w:tc>
          <w:tcPr/>
          <w:p>
            <w:pPr>
              <w:pStyle w:val="Compact"/>
            </w:pPr>
          </w:p>
        </w:tc>
      </w:tr>
      <w:tr>
        <w:tc>
          <w:tcPr/>
          <w:p>
            <w:pPr>
              <w:pStyle w:val="Compact"/>
              <w:jc w:val="left"/>
            </w:pPr>
            <w:r>
              <w:rPr>
                <w:bCs/>
                <w:b/>
              </w:rPr>
              <w:t xml:space="preserve">Transacciones FNA - Crédito, Cartera, Garantías, AVC</w:t>
            </w:r>
          </w:p>
        </w:tc>
        <w:tc>
          <w:tcPr/>
          <w:p>
            <w:pPr>
              <w:pStyle w:val="Compact"/>
              <w:jc w:val="left"/>
            </w:pPr>
            <w:r>
              <w:t xml:space="preserve">grouping</w:t>
            </w:r>
          </w:p>
        </w:tc>
        <w:tc>
          <w:tcPr/>
          <w:p>
            <w:pPr>
              <w:pStyle w:val="Compact"/>
              <w:jc w:val="left"/>
            </w:pPr>
            <w:r>
              <w:t xml:space="preserve">Unidades de intercambio de beneficios y registros de Crédito, Cartera, Garantías, Cuenta AVC.</w:t>
            </w:r>
          </w:p>
        </w:tc>
        <w:tc>
          <w:tcPr/>
          <w:p>
            <w:pPr>
              <w:pStyle w:val="Compact"/>
            </w:pPr>
          </w:p>
        </w:tc>
      </w:tr>
      <w:tr>
        <w:tc>
          <w:tcPr/>
          <w:p>
            <w:pPr>
              <w:pStyle w:val="Compact"/>
              <w:jc w:val="left"/>
            </w:pPr>
            <w:r>
              <w:rPr>
                <w:bCs/>
                <w:b/>
              </w:rPr>
              <w:t xml:space="preserve">Trámites (procedimientos documentales) de la Empresa</w:t>
            </w:r>
          </w:p>
        </w:tc>
        <w:tc>
          <w:tcPr/>
          <w:p>
            <w:pPr>
              <w:pStyle w:val="Compact"/>
              <w:jc w:val="left"/>
            </w:pPr>
            <w:r>
              <w:t xml:space="preserve">grouping</w:t>
            </w:r>
          </w:p>
        </w:tc>
        <w:tc>
          <w:tcPr/>
          <w:p>
            <w:pPr>
              <w:pStyle w:val="Compact"/>
              <w:jc w:val="left"/>
            </w:pPr>
            <w:r>
              <w:t xml:space="preserve">Procesos relacionados con los productos o clientes del FNA. Basados en documentación física o digital. Ejemplo, trámite de afiliaciones y retiros, el retiro de cesantías, aperturas, etc.</w:t>
            </w: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Location</w:t>
            </w:r>
          </w:p>
        </w:tc>
        <w:tc>
          <w:tcPr/>
          <w:p>
            <w:pPr>
              <w:pStyle w:val="Compact"/>
              <w:jc w:val="left"/>
            </w:pPr>
            <w:r>
              <w:t xml:space="preserve">location</w:t>
            </w:r>
          </w:p>
        </w:tc>
        <w:tc>
          <w:tcPr/>
          <w:p>
            <w:pPr>
              <w:pStyle w:val="Compact"/>
            </w:pPr>
          </w:p>
        </w:tc>
        <w:tc>
          <w:tcPr/>
          <w:p>
            <w:pPr>
              <w:pStyle w:val="Compact"/>
            </w:pPr>
          </w:p>
        </w:tc>
      </w:tr>
    </w:tbl>
    <w:bookmarkEnd w:id="99"/>
    <w:bookmarkEnd w:id="100"/>
    <w:bookmarkStart w:id="105" w:name="arqref.1.malla-micross"/>
    <w:p>
      <w:pPr>
        <w:pStyle w:val="Ttulo2"/>
      </w:pPr>
      <w:r>
        <w:t xml:space="preserve">ARQREF.1.Malla Micross</w:t>
      </w:r>
    </w:p>
    <w:p>
      <w:pPr>
        <w:pStyle w:val="FirstParagraph"/>
      </w:pPr>
      <w:hyperlink w:anchor="arqref.1.malla-micross"/>
      <w:r>
        <w:t xml:space="preserve"> </w:t>
      </w:r>
      <w:r>
        <w:drawing>
          <wp:inline>
            <wp:extent cx="5600700" cy="4457391"/>
            <wp:effectExtent b="0" l="0" r="0" t="0"/>
            <wp:docPr descr="Diagram: ARQREF.1.Malla Micross" title="" id="102" name="Picture"/>
            <a:graphic>
              <a:graphicData uri="http://schemas.openxmlformats.org/drawingml/2006/picture">
                <pic:pic>
                  <pic:nvPicPr>
                    <pic:cNvPr descr="images/ARQREF.1.Malla%20Micross.png" id="103" name="Picture"/>
                    <pic:cNvPicPr>
                      <a:picLocks noChangeArrowheads="1" noChangeAspect="1"/>
                    </pic:cNvPicPr>
                  </pic:nvPicPr>
                  <pic:blipFill>
                    <a:blip r:embed="rId101"/>
                    <a:stretch>
                      <a:fillRect/>
                    </a:stretch>
                  </pic:blipFill>
                  <pic:spPr bwMode="auto">
                    <a:xfrm>
                      <a:off x="0" y="0"/>
                      <a:ext cx="5600700" cy="4457391"/>
                    </a:xfrm>
                    <a:prstGeom prst="rect">
                      <a:avLst/>
                    </a:prstGeom>
                    <a:noFill/>
                    <a:ln w="9525">
                      <a:noFill/>
                      <a:headEnd/>
                      <a:tailEnd/>
                    </a:ln>
                  </pic:spPr>
                </pic:pic>
              </a:graphicData>
            </a:graphic>
          </wp:inline>
        </w:drawing>
      </w:r>
    </w:p>
    <w:bookmarkStart w:id="104" w:name="elementos-de-la-vista"/>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Choreography-based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Orchestration-based saga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Sidecar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 - East West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Distributed transactions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 Cloud</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Puntos de Atención</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bl>
    <w:bookmarkEnd w:id="104"/>
    <w:bookmarkEnd w:id="105"/>
    <w:bookmarkStart w:id="110" w:name="arqref.2.datos"/>
    <w:p>
      <w:pPr>
        <w:pStyle w:val="Ttulo2"/>
      </w:pPr>
      <w:r>
        <w:t xml:space="preserve">ARQREF.2.Datos</w:t>
      </w:r>
    </w:p>
    <w:p>
      <w:pPr>
        <w:pStyle w:val="FirstParagraph"/>
      </w:pPr>
      <w:hyperlink w:anchor="arqref.2.datos"/>
      <w:r>
        <w:t xml:space="preserve"> </w:t>
      </w:r>
      <w:r>
        <w:drawing>
          <wp:inline>
            <wp:extent cx="5600700" cy="2910285"/>
            <wp:effectExtent b="0" l="0" r="0" t="0"/>
            <wp:docPr descr="Diagram: ARQREF.2.Datos" title="" id="107" name="Picture"/>
            <a:graphic>
              <a:graphicData uri="http://schemas.openxmlformats.org/drawingml/2006/picture">
                <pic:pic>
                  <pic:nvPicPr>
                    <pic:cNvPr descr="images/ARQREF.2.Datos.png" id="108" name="Picture"/>
                    <pic:cNvPicPr>
                      <a:picLocks noChangeArrowheads="1" noChangeAspect="1"/>
                    </pic:cNvPicPr>
                  </pic:nvPicPr>
                  <pic:blipFill>
                    <a:blip r:embed="rId106"/>
                    <a:stretch>
                      <a:fillRect/>
                    </a:stretch>
                  </pic:blipFill>
                  <pic:spPr bwMode="auto">
                    <a:xfrm>
                      <a:off x="0" y="0"/>
                      <a:ext cx="5600700" cy="2910285"/>
                    </a:xfrm>
                    <a:prstGeom prst="rect">
                      <a:avLst/>
                    </a:prstGeom>
                    <a:noFill/>
                    <a:ln w="9525">
                      <a:noFill/>
                      <a:headEnd/>
                      <a:tailEnd/>
                    </a:ln>
                  </pic:spPr>
                </pic:pic>
              </a:graphicData>
            </a:graphic>
          </wp:inline>
        </w:drawing>
      </w:r>
    </w:p>
    <w:bookmarkStart w:id="109" w:name="elementos-de-la-vista-1"/>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WEB/ Mobile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 (copy)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Master Data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Business Data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Business Process Owner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FNA User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Governance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Technical Data Stewardship</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Administración de Cuentas y Pagos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 de Aportes de Cesantías</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Educativo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Hipotecario</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Procesos Gestión de crédito Constructor</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Cuenta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Garantía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PQYR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Tesorería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t xml:space="preserve">** Database per microservice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Business Users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management Zone - Data Governance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Architecture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Data sources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Data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Mission Processes</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Platform service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DB2</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ECM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Oracle</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SAP</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SQL Server</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Policy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Cosmos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Key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Profisee - 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Purview - Data Catalog</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View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managed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Security center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Models</w:t>
            </w:r>
          </w:p>
        </w:tc>
        <w:tc>
          <w:tcPr/>
          <w:p>
            <w:pPr>
              <w:pStyle w:val="Compact"/>
              <w:jc w:val="left"/>
            </w:pPr>
            <w:r>
              <w:t xml:space="preserve">technology-service</w:t>
            </w:r>
          </w:p>
        </w:tc>
        <w:tc>
          <w:tcPr/>
          <w:p>
            <w:pPr>
              <w:pStyle w:val="Compact"/>
            </w:pPr>
          </w:p>
        </w:tc>
        <w:tc>
          <w:tcPr/>
          <w:p>
            <w:pPr>
              <w:pStyle w:val="Compact"/>
            </w:pPr>
          </w:p>
        </w:tc>
      </w:tr>
    </w:tbl>
    <w:bookmarkEnd w:id="109"/>
    <w:bookmarkEnd w:id="110"/>
    <w:bookmarkStart w:id="115" w:name="arqref.3.entrega"/>
    <w:p>
      <w:pPr>
        <w:pStyle w:val="Ttulo2"/>
      </w:pPr>
      <w:r>
        <w:t xml:space="preserve">ARQREF.3.Entrega</w:t>
      </w:r>
    </w:p>
    <w:p>
      <w:pPr>
        <w:pStyle w:val="FirstParagraph"/>
      </w:pPr>
      <w:hyperlink w:anchor="arqref.3.entrega"/>
      <w:r>
        <w:t xml:space="preserve"> </w:t>
      </w:r>
      <w:r>
        <w:drawing>
          <wp:inline>
            <wp:extent cx="5600700" cy="4680802"/>
            <wp:effectExtent b="0" l="0" r="0" t="0"/>
            <wp:docPr descr="Diagram: ARQREF.3.Entrega" title="" id="112" name="Picture"/>
            <a:graphic>
              <a:graphicData uri="http://schemas.openxmlformats.org/drawingml/2006/picture">
                <pic:pic>
                  <pic:nvPicPr>
                    <pic:cNvPr descr="images/ARQREF.3.Entrega.png" id="113" name="Picture"/>
                    <pic:cNvPicPr>
                      <a:picLocks noChangeArrowheads="1" noChangeAspect="1"/>
                    </pic:cNvPicPr>
                  </pic:nvPicPr>
                  <pic:blipFill>
                    <a:blip r:embed="rId111"/>
                    <a:stretch>
                      <a:fillRect/>
                    </a:stretch>
                  </pic:blipFill>
                  <pic:spPr bwMode="auto">
                    <a:xfrm>
                      <a:off x="0" y="0"/>
                      <a:ext cx="5600700" cy="4680802"/>
                    </a:xfrm>
                    <a:prstGeom prst="rect">
                      <a:avLst/>
                    </a:prstGeom>
                    <a:noFill/>
                    <a:ln w="9525">
                      <a:noFill/>
                      <a:headEnd/>
                      <a:tailEnd/>
                    </a:ln>
                  </pic:spPr>
                </pic:pic>
              </a:graphicData>
            </a:graphic>
          </wp:inline>
        </w:drawing>
      </w:r>
    </w:p>
    <w:bookmarkStart w:id="114" w:name="elementos-de-la-vista-2"/>
    <w:p>
      <w:pPr>
        <w:pStyle w:val="Ttulo3"/>
      </w:pPr>
      <w:r>
        <w:t xml:space="preserve">Elementos de la Vista</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Azure Cli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Portal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Azure PowerShell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Browser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DevOps Variables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yaml pipelines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Admin DevOps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Analysts</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 Team</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Developer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Tester</w:t>
            </w:r>
          </w:p>
        </w:tc>
        <w:tc>
          <w:tcPr/>
          <w:p>
            <w:pPr>
              <w:pStyle w:val="Compact"/>
              <w:jc w:val="left"/>
            </w:pPr>
            <w:r>
              <w:t xml:space="preserve">business-role</w:t>
            </w:r>
          </w:p>
        </w:tc>
        <w:tc>
          <w:tcPr/>
          <w:p>
            <w:pPr>
              <w:pStyle w:val="Compact"/>
            </w:pPr>
          </w:p>
        </w:tc>
        <w:tc>
          <w:tcPr/>
          <w:p>
            <w:pPr>
              <w:pStyle w:val="Compact"/>
            </w:pPr>
          </w:p>
        </w:tc>
      </w:tr>
      <w:tr>
        <w:tc>
          <w:tcPr/>
          <w:p>
            <w:pPr>
              <w:pStyle w:val="Compact"/>
              <w:jc w:val="left"/>
            </w:pPr>
            <w:r>
              <w:rPr>
                <w:bCs/>
                <w:b/>
              </w:rPr>
              <w:t xml:space="preserve">Project</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Azure cloud</w:t>
            </w:r>
            <w:r>
              <w:rPr>
                <w:bCs/>
                <w:b/>
              </w:rPr>
              <w:t xml:space="preserve"> </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Laptop/desktop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Git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Clone</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Pull</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Push</w:t>
            </w:r>
          </w:p>
        </w:tc>
        <w:tc>
          <w:tcPr/>
          <w:p>
            <w:pPr>
              <w:pStyle w:val="Compact"/>
              <w:jc w:val="left"/>
            </w:pPr>
            <w:r>
              <w:t xml:space="preserve">technology-event</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Master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CD</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CI</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Azure 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(non-production)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Container Registry (production)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RBAC Roles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Resource Provider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Suscription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Financial commitment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Policies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 limits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Resources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Tenant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4"/>
    <w:bookmarkEnd w:id="115"/>
    <w:bookmarkStart w:id="129" w:name="arqref.4.fna"/>
    <w:p>
      <w:pPr>
        <w:pStyle w:val="Ttulo2"/>
      </w:pPr>
      <w:r>
        <w:t xml:space="preserve">ARQREF.4.FNA</w:t>
      </w:r>
    </w:p>
    <w:p>
      <w:pPr>
        <w:pStyle w:val="FirstParagraph"/>
      </w:pPr>
      <w:hyperlink w:anchor="arqref.4.fna"/>
      <w:r>
        <w:t xml:space="preserve"> </w:t>
      </w:r>
      <w:r>
        <w:drawing>
          <wp:inline>
            <wp:extent cx="5600700" cy="4620064"/>
            <wp:effectExtent b="0" l="0" r="0" t="0"/>
            <wp:docPr descr="Diagram: ARQREF.4.FNA" title="" id="117" name="Picture"/>
            <a:graphic>
              <a:graphicData uri="http://schemas.openxmlformats.org/drawingml/2006/picture">
                <pic:pic>
                  <pic:nvPicPr>
                    <pic:cNvPr descr="images/ARQREF.4.FNA.png" id="118" name="Picture"/>
                    <pic:cNvPicPr>
                      <a:picLocks noChangeArrowheads="1" noChangeAspect="1"/>
                    </pic:cNvPicPr>
                  </pic:nvPicPr>
                  <pic:blipFill>
                    <a:blip r:embed="rId116"/>
                    <a:stretch>
                      <a:fillRect/>
                    </a:stretch>
                  </pic:blipFill>
                  <pic:spPr bwMode="auto">
                    <a:xfrm>
                      <a:off x="0" y="0"/>
                      <a:ext cx="5600700" cy="4620064"/>
                    </a:xfrm>
                    <a:prstGeom prst="rect">
                      <a:avLst/>
                    </a:prstGeom>
                    <a:noFill/>
                    <a:ln w="9525">
                      <a:noFill/>
                      <a:headEnd/>
                      <a:tailEnd/>
                    </a:ln>
                  </pic:spPr>
                </pic:pic>
              </a:graphicData>
            </a:graphic>
          </wp:inline>
        </w:drawing>
      </w:r>
    </w:p>
    <w:bookmarkStart w:id="119" w:name="elementos-de-la-vista-3"/>
    <w:p>
      <w:pPr>
        <w:pStyle w:val="Ttulo3"/>
      </w:pPr>
      <w:r>
        <w:t xml:space="preserve">Elementos de la Vista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Aplicaciones Externas al FNA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Kioscos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Cesantías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 Juídica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Mesh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Files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Library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database</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Ahorro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Cartera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Cesantias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Comercial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Crédito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Financiera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Operación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Kioscos</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Analytics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Asynchronous messaging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 FNA</w:t>
            </w:r>
          </w:p>
        </w:tc>
        <w:tc>
          <w:tcPr/>
          <w:p>
            <w:pPr>
              <w:pStyle w:val="Compact"/>
              <w:jc w:val="left"/>
            </w:pPr>
            <w:r>
              <w:t xml:space="preserve">grouping</w:t>
            </w:r>
          </w:p>
        </w:tc>
        <w:tc>
          <w:tcPr/>
          <w:p>
            <w:pPr>
              <w:pStyle w:val="Compact"/>
              <w:jc w:val="left"/>
            </w:pPr>
            <w:r>
              <w:t xml:space="preserve">Sitios físicos o electrónicos en relación con los clientes.</w:t>
            </w:r>
          </w:p>
        </w:tc>
        <w:tc>
          <w:tcPr/>
          <w:p>
            <w:pPr>
              <w:pStyle w:val="Compact"/>
            </w:pPr>
          </w:p>
        </w:tc>
      </w:tr>
      <w:tr>
        <w:tc>
          <w:tcPr/>
          <w:p>
            <w:pPr>
              <w:pStyle w:val="Compact"/>
              <w:jc w:val="left"/>
            </w:pPr>
            <w:r>
              <w:rPr>
                <w:bCs/>
                <w:b/>
              </w:rPr>
              <w:t xml:space="preserve">Collaborative work</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Communication &amp; Routing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Product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landing zone - Self-serve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Database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Domain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Enrich - BI &amp; Data Science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FNA - Computación de la Empresa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Ingest and prepare data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Kubernates Cluster - Service orchestration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 - North south traffic</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 &amp; Measure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Orchestrate - Data Pipeline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Polyglot storage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Process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Security &amp; Protect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Serveless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Service Mesh</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Storage Layer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Store Data</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Transform and prepare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User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VM Database Server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r>
        <w:tc>
          <w:tcPr/>
          <w:p>
            <w:pPr>
              <w:pStyle w:val="Compact"/>
              <w:jc w:val="left"/>
            </w:pPr>
            <w:r>
              <w:rPr>
                <w:bCs/>
                <w:b/>
              </w:rPr>
              <w:t xml:space="preserve">Fondo Nacional del Ahorro</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DB2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Oracle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VM SAP server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Branches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Commits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Pull request</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Pushes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Tags</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Analytics engine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Artifacts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Overview</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Pipelines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Azure Repos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Backlogs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Build Pipeline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Chache for Redis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Cognitive services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Container Registry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Content delivery network</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Dashboards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Integration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Lake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Process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Data Share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Delivery plans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Deployments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Developer Portal</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Enterprise analytics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Azure Projects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FNA Organization</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File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Kubernates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MDM</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Machine learning</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NoSQL DB</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Progress report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Queries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Queue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Releases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Runs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 Microservices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Semantic Reports &amp; BI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Serveles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Sprints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Storage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Summary</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Table Storage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Task groups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Test Plants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Wiki</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Work items</w:t>
            </w:r>
          </w:p>
        </w:tc>
        <w:tc>
          <w:tcPr/>
          <w:p>
            <w:pPr>
              <w:pStyle w:val="Compact"/>
              <w:jc w:val="left"/>
            </w:pPr>
            <w:r>
              <w:t xml:space="preserve">technology-service</w:t>
            </w:r>
          </w:p>
        </w:tc>
        <w:tc>
          <w:tcPr/>
          <w:p>
            <w:pPr>
              <w:pStyle w:val="Compact"/>
            </w:pPr>
          </w:p>
        </w:tc>
        <w:tc>
          <w:tcPr/>
          <w:p>
            <w:pPr>
              <w:pStyle w:val="Compact"/>
            </w:pPr>
          </w:p>
        </w:tc>
      </w:tr>
    </w:tbl>
    <w:bookmarkEnd w:id="119"/>
    <w:bookmarkStart w:id="128" w:name="Xf2848fda90cbf5119b1ac784f15161cd77b81c9"/>
    <w:p>
      <w:pPr>
        <w:pStyle w:val="Ttulo3"/>
      </w:pPr>
      <w:r>
        <w:t xml:space="preserve">Características de la Arquitectura de Servicios 2.0 del FNA</w:t>
      </w:r>
    </w:p>
    <w:bookmarkStart w:id="120"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120"/>
    <w:bookmarkStart w:id="121"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121"/>
    <w:bookmarkStart w:id="122"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basada en el concepto de malla de servicios trae ventajas como la modernizar de los mecanismos de orquestación de servicios​, propone alternativas para el manejo de escalabilidad, seguridad y monitoreo de servicios​, y orienta la operación de servicios hacia la computación en la nube​.</w:t>
      </w:r>
    </w:p>
    <w:bookmarkEnd w:id="122"/>
    <w:bookmarkStart w:id="123"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123"/>
    <w:bookmarkStart w:id="124"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124"/>
    <w:bookmarkStart w:id="125"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125"/>
    <w:bookmarkStart w:id="126"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126"/>
    <w:bookmarkStart w:id="127" w:name="X9d6c8b839ea6853926c866765a5e58b89f4ea0c"/>
    <w:p>
      <w:pPr>
        <w:pStyle w:val="Ttulo4"/>
      </w:pPr>
      <w:r>
        <w:t xml:space="preserve">Longevidad y escalabilidad: servicios dirigidos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127"/>
    <w:bookmarkEnd w:id="128"/>
    <w:bookmarkEnd w:id="129"/>
    <w:bookmarkStart w:id="14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34" w:name="pilares-de-la-malla-de-datos-data-mesh"/>
    <w:p>
      <w:pPr>
        <w:pStyle w:val="Ttulo3"/>
      </w:pPr>
      <w:r>
        <w:t xml:space="preserve">Pilares de la Malla de Datos (data mesh)</w:t>
      </w:r>
    </w:p>
    <w:bookmarkStart w:id="0" w:name="fig:datimage1.png"/>
    <w:p>
      <w:pPr>
        <w:pStyle w:val="CaptionedFigure"/>
      </w:pPr>
      <w:bookmarkStart w:id="133" w:name="fig:datimage1.png"/>
      <w:r>
        <w:drawing>
          <wp:inline>
            <wp:extent cx="5486400" cy="2743200"/>
            <wp:effectExtent b="0" l="0" r="0" t="0"/>
            <wp:docPr descr="Imagen 10: Malla de datos para el FNA" title="" id="131" name="Picture"/>
            <a:graphic>
              <a:graphicData uri="http://schemas.openxmlformats.org/drawingml/2006/picture">
                <pic:pic>
                  <pic:nvPicPr>
                    <pic:cNvPr descr="images/datimage1.png" id="132" name="Picture"/>
                    <pic:cNvPicPr>
                      <a:picLocks noChangeArrowheads="1" noChangeAspect="1"/>
                    </pic:cNvPicPr>
                  </pic:nvPicPr>
                  <pic:blipFill>
                    <a:blip r:embed="rId130"/>
                    <a:stretch>
                      <a:fillRect/>
                    </a:stretch>
                  </pic:blipFill>
                  <pic:spPr bwMode="auto">
                    <a:xfrm>
                      <a:off x="0" y="0"/>
                      <a:ext cx="5486400" cy="2743200"/>
                    </a:xfrm>
                    <a:prstGeom prst="rect">
                      <a:avLst/>
                    </a:prstGeom>
                    <a:noFill/>
                    <a:ln w="9525">
                      <a:noFill/>
                      <a:headEnd/>
                      <a:tailEnd/>
                    </a:ln>
                  </pic:spPr>
                </pic:pic>
              </a:graphicData>
            </a:graphic>
          </wp:inline>
        </w:drawing>
      </w:r>
      <w:bookmarkEnd w:id="133"/>
    </w:p>
    <w:p>
      <w:pPr>
        <w:pStyle w:val="ImageCaption"/>
      </w:pPr>
      <w:r>
        <w:t xml:space="preserve">Imagen 10: Malla de datos para el FNA</w:t>
      </w:r>
    </w:p>
    <w:bookmarkEnd w:id="0"/>
    <w:bookmarkEnd w:id="134"/>
    <w:bookmarkStart w:id="14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 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interoperatividad e integración de datos, gestión documental y contenido, datos maestros y de referencia, inteligencia de negocios y analítica, metadatos y calidad de datos.</w:t>
      </w:r>
    </w:p>
    <w:bookmarkStart w:id="0" w:name="fig:337ff791-6c83-4622-a227-aead74dc5f4d"/>
    <w:p>
      <w:pPr>
        <w:pStyle w:val="CaptionedFigure"/>
      </w:pPr>
      <w:bookmarkStart w:id="138" w:name="fig:"/>
      <w:r>
        <w:drawing>
          <wp:inline>
            <wp:extent cx="5486400" cy="3200400"/>
            <wp:effectExtent b="0" l="0" r="0" t="0"/>
            <wp:docPr descr="Imagen 11: Plano de Datos Objetivo del FNA" title="" id="136" name="Picture"/>
            <a:graphic>
              <a:graphicData uri="http://schemas.openxmlformats.org/drawingml/2006/picture">
                <pic:pic>
                  <pic:nvPicPr>
                    <pic:cNvPr descr="images/datimage2.png" id="137" name="Picture"/>
                    <pic:cNvPicPr>
                      <a:picLocks noChangeArrowheads="1" noChangeAspect="1"/>
                    </pic:cNvPicPr>
                  </pic:nvPicPr>
                  <pic:blipFill>
                    <a:blip r:embed="rId135"/>
                    <a:stretch>
                      <a:fillRect/>
                    </a:stretch>
                  </pic:blipFill>
                  <pic:spPr bwMode="auto">
                    <a:xfrm>
                      <a:off x="0" y="0"/>
                      <a:ext cx="5486400" cy="3200400"/>
                    </a:xfrm>
                    <a:prstGeom prst="rect">
                      <a:avLst/>
                    </a:prstGeom>
                    <a:noFill/>
                    <a:ln w="9525">
                      <a:noFill/>
                      <a:headEnd/>
                      <a:tailEnd/>
                    </a:ln>
                  </pic:spPr>
                </pic:pic>
              </a:graphicData>
            </a:graphic>
          </wp:inline>
        </w:drawing>
      </w:r>
      <w:bookmarkEnd w:id="138"/>
    </w:p>
    <w:p>
      <w:pPr>
        <w:pStyle w:val="ImageCaption"/>
      </w:pPr>
      <w:r>
        <w:t xml:space="preserve">Imagen 11: Plano de Datos Objetivo del FNA</w:t>
      </w:r>
    </w:p>
    <w:bookmarkEnd w:id="0"/>
    <w:p>
      <w:pPr>
        <w:pStyle w:val="Textoindependiente"/>
      </w:pPr>
      <w:r>
        <w:t xml:space="preserve">La Ilustración a continuación muestra los marcos de referencia aplicables al dominio de Información:</w:t>
      </w:r>
    </w:p>
    <w:bookmarkStart w:id="0" w:name="fig:b10c84ad-f859-4494-be07-c5c4385324d5"/>
    <w:p>
      <w:pPr>
        <w:pStyle w:val="CaptionedFigure"/>
      </w:pPr>
      <w:bookmarkStart w:id="142" w:name="fig:"/>
      <w:r>
        <w:drawing>
          <wp:inline>
            <wp:extent cx="5486400" cy="2194560"/>
            <wp:effectExtent b="0" l="0" r="0" t="0"/>
            <wp:docPr descr="Imagen 12: Marcos de referencia aplicables a la arquitectura de información" title="" id="140" name="Picture"/>
            <a:graphic>
              <a:graphicData uri="http://schemas.openxmlformats.org/drawingml/2006/picture">
                <pic:pic>
                  <pic:nvPicPr>
                    <pic:cNvPr descr="images/datimage3.png" id="141" name="Picture"/>
                    <pic:cNvPicPr>
                      <a:picLocks noChangeArrowheads="1" noChangeAspect="1"/>
                    </pic:cNvPicPr>
                  </pic:nvPicPr>
                  <pic:blipFill>
                    <a:blip r:embed="rId139"/>
                    <a:stretch>
                      <a:fillRect/>
                    </a:stretch>
                  </pic:blipFill>
                  <pic:spPr bwMode="auto">
                    <a:xfrm>
                      <a:off x="0" y="0"/>
                      <a:ext cx="5486400" cy="2194560"/>
                    </a:xfrm>
                    <a:prstGeom prst="rect">
                      <a:avLst/>
                    </a:prstGeom>
                    <a:noFill/>
                    <a:ln w="9525">
                      <a:noFill/>
                      <a:headEnd/>
                      <a:tailEnd/>
                    </a:ln>
                  </pic:spPr>
                </pic:pic>
              </a:graphicData>
            </a:graphic>
          </wp:inline>
        </w:drawing>
      </w:r>
      <w:bookmarkEnd w:id="142"/>
    </w:p>
    <w:p>
      <w:pPr>
        <w:pStyle w:val="ImageCaption"/>
      </w:pPr>
      <w:r>
        <w:t xml:space="preserve">Imagen 12: Marcos de referencia aplicables a la arquitectura de información</w:t>
      </w:r>
    </w:p>
    <w:bookmarkEnd w:id="0"/>
    <w:bookmarkEnd w:id="143"/>
    <w:bookmarkStart w:id="144"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44"/>
    <w:bookmarkEnd w:id="145"/>
    <w:bookmarkStart w:id="15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4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47" name="Picture"/>
            <a:graphic>
              <a:graphicData uri="http://schemas.openxmlformats.org/drawingml/2006/picture">
                <pic:pic>
                  <pic:nvPicPr>
                    <pic:cNvPr descr="./images/infrimage1.png" id="148" name="Picture"/>
                    <pic:cNvPicPr>
                      <a:picLocks noChangeArrowheads="1" noChangeAspect="1"/>
                    </pic:cNvPicPr>
                  </pic:nvPicPr>
                  <pic:blipFill>
                    <a:blip r:embed="rId14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49"/>
    <w:bookmarkStart w:id="150"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1.461f155</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50"/>
    <w:bookmarkEnd w:id="151"/>
    <w:bookmarkEnd w:id="152"/>
    <w:bookmarkStart w:id="16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5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56" w:name="fig:arqrefnegativa1.png"/>
      <w:r>
        <w:drawing>
          <wp:inline>
            <wp:extent cx="5486400" cy="2743200"/>
            <wp:effectExtent b="0" l="0" r="0" t="0"/>
            <wp:docPr descr="Imagen 13: Consideraciones de Diseño FNA. Acoplamiento y Dependencia al proveedor." title="" id="154" name="Picture"/>
            <a:graphic>
              <a:graphicData uri="http://schemas.openxmlformats.org/drawingml/2006/picture">
                <pic:pic>
                  <pic:nvPicPr>
                    <pic:cNvPr descr="images/arqrefnegativa1.png" id="155" name="Picture"/>
                    <pic:cNvPicPr>
                      <a:picLocks noChangeArrowheads="1" noChangeAspect="1"/>
                    </pic:cNvPicPr>
                  </pic:nvPicPr>
                  <pic:blipFill>
                    <a:blip r:embed="rId153"/>
                    <a:stretch>
                      <a:fillRect/>
                    </a:stretch>
                  </pic:blipFill>
                  <pic:spPr bwMode="auto">
                    <a:xfrm>
                      <a:off x="0" y="0"/>
                      <a:ext cx="5486400" cy="2743200"/>
                    </a:xfrm>
                    <a:prstGeom prst="rect">
                      <a:avLst/>
                    </a:prstGeom>
                    <a:noFill/>
                    <a:ln w="9525">
                      <a:noFill/>
                      <a:headEnd/>
                      <a:tailEnd/>
                    </a:ln>
                  </pic:spPr>
                </pic:pic>
              </a:graphicData>
            </a:graphic>
          </wp:inline>
        </w:drawing>
      </w:r>
      <w:bookmarkEnd w:id="156"/>
    </w:p>
    <w:p>
      <w:pPr>
        <w:pStyle w:val="ImageCaption"/>
      </w:pPr>
      <w:r>
        <w:t xml:space="preserve">Imagen 13: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57"/>
    <w:bookmarkStart w:id="16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61" w:name="fig:arqrefnegativa2.png"/>
      <w:r>
        <w:drawing>
          <wp:inline>
            <wp:extent cx="5486400" cy="2743200"/>
            <wp:effectExtent b="0" l="0" r="0" t="0"/>
            <wp:docPr descr="Imagen 14: Consideraciones de Diseño FNA. Capas genéricas, sin arquitectura. Preparan (organizan) un sistema información, servicio o componente de software para la arquitectura." title="" id="159" name="Picture"/>
            <a:graphic>
              <a:graphicData uri="http://schemas.openxmlformats.org/drawingml/2006/picture">
                <pic:pic>
                  <pic:nvPicPr>
                    <pic:cNvPr descr="images/arqrefnegativa2.png" id="160" name="Picture"/>
                    <pic:cNvPicPr>
                      <a:picLocks noChangeArrowheads="1" noChangeAspect="1"/>
                    </pic:cNvPicPr>
                  </pic:nvPicPr>
                  <pic:blipFill>
                    <a:blip r:embed="rId158"/>
                    <a:stretch>
                      <a:fillRect/>
                    </a:stretch>
                  </pic:blipFill>
                  <pic:spPr bwMode="auto">
                    <a:xfrm>
                      <a:off x="0" y="0"/>
                      <a:ext cx="5486400" cy="2743200"/>
                    </a:xfrm>
                    <a:prstGeom prst="rect">
                      <a:avLst/>
                    </a:prstGeom>
                    <a:noFill/>
                    <a:ln w="9525">
                      <a:noFill/>
                      <a:headEnd/>
                      <a:tailEnd/>
                    </a:ln>
                  </pic:spPr>
                </pic:pic>
              </a:graphicData>
            </a:graphic>
          </wp:inline>
        </w:drawing>
      </w:r>
      <w:bookmarkEnd w:id="161"/>
    </w:p>
    <w:p>
      <w:pPr>
        <w:pStyle w:val="ImageCaption"/>
      </w:pPr>
      <w:r>
        <w:t xml:space="preserve">Imagen 14: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Análisis de 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1.461f155</w:t>
            </w:r>
            <w:r>
              <w:t xml:space="preserve"> </w:t>
            </w:r>
            <w:r>
              <w:t xml:space="preserve">del 16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62"/>
    <w:bookmarkEnd w:id="163"/>
    <w:bookmarkStart w:id="164" w:name="Xd5c29219b47be01f89ff0a883de9751ca241ce6"/>
    <w:p>
      <w:pPr>
        <w:pStyle w:val="Ttulo1"/>
      </w:pPr>
      <w:r>
        <w:t xml:space="preserve">Fortalezas de la Arquitectura de Referencia del FNA</w:t>
      </w:r>
    </w:p>
    <w:p>
      <w:pPr>
        <w:pStyle w:val="FirstParagraph"/>
      </w:pPr>
      <w:r>
        <w:t xml:space="preserve">En cumplimiento con el alcance (y las restricciones de tiempo del proyecto actual), en esta sección plantearemos una lista de propiedades (fortalezas) relacionados con el contexto del FNA y que esta propuesta de arquitectura, la arquitectura de referencia SOA 2.0 del FNA, objeto de este proyecto persigue.</w:t>
      </w:r>
    </w:p>
    <w:p>
      <w:pPr>
        <w:pStyle w:val="Textoindependiente"/>
      </w:pPr>
      <w:r>
        <w:t xml:space="preserve">Estas fortalezas vistas como objetivos que esta composición de organización y tecnologías se propone enfrenta las problemáticas identificadas en diagnósticos anteriores (E-Service Fase I</w:t>
      </w:r>
      <w:r>
        <w:t xml:space="preserve"> </w:t>
      </w:r>
      <w:r>
        <w:t xml:space="preserve">[</w:t>
      </w:r>
      <w:hyperlink w:anchor="ref-eservices1">
        <w:r>
          <w:rPr>
            <w:rStyle w:val="Hipervnculo"/>
            <w:bCs/>
            <w:b/>
          </w:rPr>
          <w:t xml:space="preserve">eservices1?</w:t>
        </w:r>
      </w:hyperlink>
      <w:r>
        <w:t xml:space="preserve">]</w:t>
      </w:r>
      <w:r>
        <w:t xml:space="preserve">). Esto es, la siguiente arquitectura de servicios optimiza las siguientes características en beneficio particular del FNA.</w:t>
      </w:r>
    </w:p>
    <w:p>
      <w:pPr>
        <w:pStyle w:val="Textoindependiente"/>
      </w:pPr>
      <w:r>
        <w:t xml:space="preserve">Optimizaciones (fortalezas) que persigue la arquitectura de referencia SOA 2.0 del FNA.</w:t>
      </w:r>
    </w:p>
    <w:p>
      <w:pPr>
        <w:numPr>
          <w:ilvl w:val="0"/>
          <w:numId w:val="1014"/>
        </w:numPr>
        <w:pStyle w:val="Compact"/>
      </w:pPr>
      <w:r>
        <w:t xml:space="preserve">Mejorar la estabilidad, el reintento la tolerancia a fallos y la disponibilidad de servicios SOA y los microservicios del Fondo Nacional mediante el uso de servicios frontales (</w:t>
      </w:r>
      <w:r>
        <w:rPr>
          <w:iCs/>
          <w:i/>
        </w:rPr>
        <w:t xml:space="preserve">proxy</w:t>
      </w:r>
      <w:r>
        <w:t xml:space="preserve">)</w:t>
      </w:r>
    </w:p>
    <w:p>
      <w:pPr>
        <w:numPr>
          <w:ilvl w:val="0"/>
          <w:numId w:val="1014"/>
        </w:numPr>
        <w:pStyle w:val="Compact"/>
      </w:pPr>
      <w:r>
        <w:t xml:space="preserve">Modernizar los mecanismos de orquestación de servicios con arreglo en el estilo de arquitectura de solución orientada a servicios y a eventos</w:t>
      </w:r>
    </w:p>
    <w:p>
      <w:pPr>
        <w:numPr>
          <w:ilvl w:val="0"/>
          <w:numId w:val="1014"/>
        </w:numPr>
        <w:pStyle w:val="Compact"/>
      </w:pPr>
      <w:r>
        <w:t xml:space="preserve">Independiza las acciones de escalabilidad, seguridad y monitoreo de servicios, de acuerdo con el estilo de arquitectura de solución orientada a servicios</w:t>
      </w:r>
    </w:p>
    <w:p>
      <w:pPr>
        <w:numPr>
          <w:ilvl w:val="0"/>
          <w:numId w:val="1014"/>
        </w:numPr>
        <w:pStyle w:val="Compact"/>
      </w:pPr>
      <w:r>
        <w:t xml:space="preserve">Persigue el esquema de operación de servicios orientados a la nube</w:t>
      </w:r>
    </w:p>
    <w:p>
      <w:pPr>
        <w:numPr>
          <w:ilvl w:val="0"/>
          <w:numId w:val="1014"/>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pPr>
        <w:pStyle w:val="FirstParagraph"/>
      </w:pPr>
    </w:p>
    <w:p>
      <w:r>
        <w:br w:type="page"/>
      </w:r>
    </w:p>
    <w:bookmarkEnd w:id="164"/>
    <w:bookmarkStart w:id="176" w:name="referencias"/>
    <w:p>
      <w:pPr>
        <w:pStyle w:val="Ttulo1"/>
      </w:pPr>
      <w:r>
        <w:t xml:space="preserve">Referencias</w:t>
      </w:r>
    </w:p>
    <w:bookmarkStart w:id="17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6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65">
        <w:r>
          <w:rPr>
            <w:rStyle w:val="Hipervnculo"/>
          </w:rPr>
          <w:t xml:space="preserve">https://hwong23.github.io/fna-devdoc-f1/v/6497aef0f15c3591f0728e4c42cb2c26c13b43aa/</w:t>
        </w:r>
      </w:hyperlink>
    </w:p>
    <w:bookmarkEnd w:id="166"/>
    <w:bookmarkStart w:id="16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65">
        <w:r>
          <w:rPr>
            <w:rStyle w:val="Hipervnculo"/>
          </w:rPr>
          <w:t xml:space="preserve">https://hwong23.github.io/fna-devdoc-f1/v/6497aef0f15c3591f0728e4c42cb2c26c13b43aa/</w:t>
        </w:r>
      </w:hyperlink>
    </w:p>
    <w:bookmarkEnd w:id="167"/>
    <w:bookmarkStart w:id="16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65">
        <w:r>
          <w:rPr>
            <w:rStyle w:val="Hipervnculo"/>
          </w:rPr>
          <w:t xml:space="preserve">https://hwong23.github.io/fna-devdoc-f1/v/6497aef0f15c3591f0728e4c42cb2c26c13b43aa/</w:t>
        </w:r>
      </w:hyperlink>
    </w:p>
    <w:bookmarkEnd w:id="168"/>
    <w:bookmarkStart w:id="17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69">
        <w:r>
          <w:rPr>
            <w:rStyle w:val="Hipervnculo"/>
          </w:rPr>
          <w:t xml:space="preserve">https://pubs.opengroup.org/architecture/togaf9-doc/arch/chap27.html</w:t>
        </w:r>
      </w:hyperlink>
    </w:p>
    <w:bookmarkEnd w:id="170"/>
    <w:bookmarkStart w:id="17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69">
        <w:r>
          <w:rPr>
            <w:rStyle w:val="Hipervnculo"/>
          </w:rPr>
          <w:t xml:space="preserve">https://pubs.opengroup.org/architecture/togaf9-doc/arch/chap27.html</w:t>
        </w:r>
      </w:hyperlink>
    </w:p>
    <w:bookmarkEnd w:id="171"/>
    <w:bookmarkStart w:id="17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72">
        <w:r>
          <w:rPr>
            <w:rStyle w:val="Hipervnculo"/>
          </w:rPr>
          <w:t xml:space="preserve">https://hwong23.github.io/fna-dd-f2-e1/</w:t>
        </w:r>
      </w:hyperlink>
    </w:p>
    <w:bookmarkEnd w:id="173"/>
    <w:bookmarkStart w:id="17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72">
        <w:r>
          <w:rPr>
            <w:rStyle w:val="Hipervnculo"/>
          </w:rPr>
          <w:t xml:space="preserve">https://hwong23.github.io/fna-dd-f2-e1/</w:t>
        </w:r>
      </w:hyperlink>
    </w:p>
    <w:bookmarkEnd w:id="174"/>
    <w:bookmarkEnd w:id="175"/>
    <w:bookmarkEnd w:id="17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3" Target="media/rId93.png" /><Relationship Type="http://schemas.openxmlformats.org/officeDocument/2006/relationships/image" Id="rId82" Target="media/rId82.png" /><Relationship Type="http://schemas.openxmlformats.org/officeDocument/2006/relationships/image" Id="rId77" Target="media/rId77.png" /><Relationship Type="http://schemas.openxmlformats.org/officeDocument/2006/relationships/image" Id="rId87" Target="media/rId87.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2" Target="https://hwong23.github.io/fna-dd-f2-e1/" TargetMode="External" /><Relationship Type="http://schemas.openxmlformats.org/officeDocument/2006/relationships/hyperlink" Id="rId20" Target="https://hwong23.github.io/fna-dd-f2-pry2-e1/v/461f155e821dc03d5db984a4183b7f8353340bc3/" TargetMode="External" /><Relationship Type="http://schemas.openxmlformats.org/officeDocument/2006/relationships/hyperlink" Id="rId165" Target="https://hwong23.github.io/fna-devdoc-f1/v/6497aef0f15c3591f0728e4c42cb2c26c13b43aa/" TargetMode="External" /><Relationship Type="http://schemas.openxmlformats.org/officeDocument/2006/relationships/hyperlink" Id="rId16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9"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72" Target="https://hwong23.github.io/fna-dd-f2-e1/" TargetMode="External" /><Relationship Type="http://schemas.openxmlformats.org/officeDocument/2006/relationships/hyperlink" Id="rId20" Target="https://hwong23.github.io/fna-dd-f2-pry2-e1/v/461f155e821dc03d5db984a4183b7f8353340bc3/" TargetMode="External" /><Relationship Type="http://schemas.openxmlformats.org/officeDocument/2006/relationships/hyperlink" Id="rId165" Target="https://hwong23.github.io/fna-devdoc-f1/v/6497aef0f15c3591f0728e4c42cb2c26c13b43aa/" TargetMode="External" /><Relationship Type="http://schemas.openxmlformats.org/officeDocument/2006/relationships/hyperlink" Id="rId16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2023-08-16T11:24:43Z</dcterms:created>
  <dcterms:modified xsi:type="dcterms:W3CDTF">2023-08-16T11:24:43Z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