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STEF@5794550</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1.5794550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1.5794550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1.5794550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26d15186-aa7e-4d5b-95bb-5d218bb4bff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componentes primordiales de estos.</w:t>
      </w:r>
      <w:r>
        <w:t xml:space="preserve"> </w:t>
      </w:r>
      <w:r>
        <w:rPr>
          <w:iCs/>
          <w:i/>
        </w:rPr>
        <w:t xml:space="preserve">Esta último parte es importante: en este contexto, la arquitectura de referencia, distinta de un diseño de solución, no opera en artefactos ejecutables específicos</w:t>
      </w:r>
      <w:r>
        <w:t xml:space="preserve">, sino sobre componentes funcionales que le dan su forma mediante decisiones de arquitectura (anteriores a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8faf2da8-9baa-4e89-b554-637f072c5695"/>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1f6a56db-7410-48cd-8ee7-baa6f1e2e55f"/>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1.5794550</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ed02fee9-4e6d-4b38-bd02-cb9830304fc9"/>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090361"/>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090361"/>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a5564e2d-7b88-4759-85d2-0f30060c6c70"/>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77752298-bd71-44f9-8be4-5800e5200f7d"/>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8ceb5f00-a10c-4f69-a2c1-94a6acdd31e7"/>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1.5794550</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57945506a577d2a8d678b09392e1b644962e401b/"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57945506a577d2a8d678b09392e1b644962e401b/"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2023-08-09T10:19:09Z</dcterms:created>
  <dcterms:modified xsi:type="dcterms:W3CDTF">2023-08-09T10:19:09Z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