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STEF@6c9d0ee</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1.6c9d0ee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1.6c9d0ee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1.6c9d0ee</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3cbd76a8-d7c6-43a9-8292-5021a0809333"/>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1.6c9d0ee</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a3bd18db-9c66-4076-abfd-ad53a0caf070"/>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29cbc958-2d70-49ce-a924-3857d47bce79"/>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1.6c9d0ee</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1.6c9d0ee</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al personal involucrado con la oficina de arquitectura del FNA.</w:t>
      </w:r>
    </w:p>
    <w:p>
      <w:pPr>
        <w:numPr>
          <w:ilvl w:val="0"/>
          <w:numId w:val="1009"/>
        </w:numPr>
        <w:pStyle w:val="Compact"/>
      </w:pPr>
      <w:r>
        <w:t xml:space="preserve">Arquitecto Solución. Representa al personal involucrado con la oficina de arquitectura del FNA.</w:t>
      </w:r>
    </w:p>
    <w:p>
      <w:pPr>
        <w:numPr>
          <w:ilvl w:val="0"/>
          <w:numId w:val="1009"/>
        </w:numPr>
        <w:pStyle w:val="Compact"/>
      </w:pPr>
      <w:r>
        <w:t xml:space="preserve">Ingeniería FNA. Representa al personal involucrado con las áreas del desarrollo de soluciones de software y sistemas de infirmación del FNA.</w:t>
      </w:r>
    </w:p>
    <w:p>
      <w:pPr>
        <w:pStyle w:val="FirstParagraph"/>
      </w:pPr>
    </w:p>
    <w:p>
      <w:pPr>
        <w:pStyle w:val="Textoindependiente"/>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pPr>
        <w:pStyle w:val="Textoindependiente"/>
      </w:pPr>
      <w:r>
        <w:t xml:space="preserve">Resaltamos de las responsabilidades descritas arriba en la tabla que la de</w:t>
      </w:r>
      <w:r>
        <w:t xml:space="preserve"> </w:t>
      </w:r>
      <w:r>
        <w:rPr>
          <w:iCs/>
          <w:i/>
        </w:rPr>
        <w:t xml:space="preserve">Verificación</w:t>
      </w:r>
      <w:r>
        <w:t xml:space="preserve"> </w:t>
      </w:r>
      <w:r>
        <w:t xml:space="preserve">responde a la actividad PRCARRF4, Verificación y Validación, del flujo de mantenimiento.</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1.6c9d0ee</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98450b83-ce1c-4a94-b979-0aa9dbe67e4d"/>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1.6c9d0ee</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be6a6334-5a3f-4b98-8545-a49f09257569"/>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X209736db1b7538b4168552fd7f84d788d2691fb"/>
    <w:p>
      <w:pPr>
        <w:pStyle w:val="Ttulo4"/>
      </w:pPr>
      <w:r>
        <w:t xml:space="preserve">Nivel de detalle 1: Zonas de la arquitectura</w:t>
      </w:r>
    </w:p>
    <w:p>
      <w:pPr>
        <w:pStyle w:val="FirstParagraph"/>
      </w:pPr>
      <w:r>
        <w:t xml:space="preserve">Las zonas o segmentos de la arquitectura presentados en la imagen separan las responsabilidades de cada parte del panorama completo. Estas divisiones, aunque granulares, son importantes para organizar el y hacer avances en los trabajos sin que uno detenga al otro.</w:t>
      </w:r>
    </w:p>
    <w:bookmarkStart w:id="0" w:name="fig:4a3efad9-492e-43db-89f4-7d9b4c66aeeb"/>
    <w:p>
      <w:pPr>
        <w:pStyle w:val="CaptionedFigure"/>
      </w:pPr>
      <w:bookmarkStart w:id="80" w:name="fig:"/>
      <w:r>
        <w:drawing>
          <wp:inline>
            <wp:extent cx="5600700" cy="3015761"/>
            <wp:effectExtent b="0" l="0" r="0" t="0"/>
            <wp:docPr descr="Imagen 6: Fondo Nacional del Ahorro - Vista general de arquitectura de referencia. Nivel de detalle 1. Separación de segmentos de la arquitectura de referencia del FNA."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Nivel de detalle 1. Separación de segmentos de la arquitectura de referencia del FNA.</w:t>
      </w:r>
    </w:p>
    <w:bookmarkEnd w:id="0"/>
    <w:p>
      <w:pPr>
        <w:pStyle w:val="Textoindependiente"/>
      </w:pPr>
    </w:p>
    <w:p>
      <w:pPr>
        <w:pStyle w:val="Textoindependiente"/>
      </w:pPr>
      <w:r>
        <w:t xml:space="preserve">Este nivel de detalle podemos asimilarlo como un alcance horizontal de la arquitectura de referencia en la que se informa acerca de los aspectos de la empresa que esta considera. Al contener estos paquetes de trabajo macro expresa una especie de alcance: lo que no esté en estos segmentos no será considerado por el trabajo de arquitectura. En el siguiente nivel de detalle realizaremos una división mayor en donde el objetivo es el mismo,</w:t>
      </w:r>
      <w:r>
        <w:t xml:space="preserve"> </w:t>
      </w:r>
      <w:r>
        <w:rPr>
          <w:iCs/>
          <w:i/>
        </w:rPr>
        <w:t xml:space="preserve">dividir y organizar el trabajo de arquitectura</w:t>
      </w:r>
      <w:r>
        <w:t xml:space="preserve">.</w:t>
      </w:r>
    </w:p>
    <w:p>
      <w:pPr>
        <w:pStyle w:val="Textoindependiente"/>
      </w:pPr>
    </w:p>
    <w:bookmarkEnd w:id="81"/>
    <w:bookmarkStart w:id="86" w:name="nivel-de-detalle-2-áreas-de-servicios"/>
    <w:p>
      <w:pPr>
        <w:pStyle w:val="Ttulo4"/>
      </w:pPr>
      <w:r>
        <w:t xml:space="preserve">Nivel de detalle 2: Áreas de servicios</w:t>
      </w:r>
    </w:p>
    <w:p>
      <w:pPr>
        <w:pStyle w:val="FirstParagraph"/>
      </w:pPr>
      <w:r>
        <w:t xml:space="preserve">En este nivel de detalle realizamos la división interna de las zonas de arquitectura presentada anteriormente. Utilizaremos esta división para denotar los servicios SOA que el FNA requiere para el sostenimiento de negocio, la operación y la infraestructura.</w:t>
      </w:r>
    </w:p>
    <w:bookmarkStart w:id="0" w:name="fig:arqimage2.png"/>
    <w:p>
      <w:pPr>
        <w:pStyle w:val="CaptionedFigure"/>
      </w:pPr>
      <w:bookmarkStart w:id="85" w:name="fig:arqimage2.png"/>
      <w:r>
        <w:drawing>
          <wp:inline>
            <wp:extent cx="5600700" cy="3015761"/>
            <wp:effectExtent b="0" l="0" r="0" t="0"/>
            <wp:docPr descr="Imagen 7: Fondo Nacional del Ahorro - Vista general de arquitectura de referencia. Nivel de detalle 2. Separación de subsegmentos de la arquitectura de referencia del FNA."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Nivel de detalle 2. Separación de subsegmentos de la arquitectura de referencia del FNA.</w:t>
      </w:r>
    </w:p>
    <w:bookmarkEnd w:id="0"/>
    <w:p>
      <w:pPr>
        <w:pStyle w:val="Textoindependiente"/>
      </w:pPr>
    </w:p>
    <w:p>
      <w:pPr>
        <w:pStyle w:val="Textoindependiente"/>
      </w:pPr>
      <w:r>
        <w:t xml:space="preserve">Esta división es más táctica que la división de zonas presentada antes. Este vista de áreas de servicios le comunica al equipo de la oficina de arquitectura cuáles serán los dominios enfocados que debe cuidar, los equipos de trabajo que debe considerar, los componentes que debe procurar y el rol de estos, y por supuesto, la comunicación que deben tener estos respecto de sus segmentos contenedores.</w:t>
      </w:r>
    </w:p>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30f3a63f-038d-4b93-ba9b-34098d6dd7dd"/>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b51eb71f-db8d-4f02-8f2c-f15628d6d67d"/>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cad17ea1-0866-44c2-a2e0-3ba05a259850"/>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p>
      <w:pPr>
        <w:pStyle w:val="Textoindependiente"/>
      </w:pP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 infraestructura y pltaforma en la nube.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pPr>
        <w:pStyle w:val="Textoindependiente"/>
      </w:pP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6c9d0eee91df187663783da60725b5f0a2a1a2c5/"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6c9d0eee91df187663783da60725b5f0a2a1a2c5/"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2023-07-28T18:51:18Z</dcterms:created>
  <dcterms:modified xsi:type="dcterms:W3CDTF">2023-07-28T18:51:18Z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