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STEF@7630740</w:t>
        </w:r>
      </w:hyperlink>
      <w:r>
        <w:t xml:space="preserve"> </w:t>
      </w:r>
      <w:r>
        <w:t xml:space="preserve">del August 16, 2023.</w:t>
      </w:r>
      <w:r>
        <w:t xml:space="preserve"> </w:t>
      </w:r>
    </w:p>
    <w:p>
      <w:pPr>
        <w:pStyle w:val="Textoindependiente"/>
      </w:pPr>
      <w:r>
        <w:t xml:space="preserve">   </w:t>
      </w:r>
      <w:r>
        <w:rPr>
          <w:bCs/>
          <w:b/>
        </w:rPr>
        <w:t xml:space="preserve">Versión</w:t>
      </w:r>
      <w:r>
        <w:t xml:space="preserve"> </w:t>
      </w:r>
      <w:r>
        <w:t xml:space="preserve">del producto 1.7630740 de 16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1.7630740 del 16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16 Aug 2023</w:t>
      </w:r>
    </w:p>
    <w:p>
      <w:pPr>
        <w:pStyle w:val="Textodebloque"/>
      </w:pPr>
      <w:r>
        <w:rPr>
          <w:bCs/>
          <w:b/>
        </w:rPr>
        <w:t xml:space="preserve">Versión</w:t>
      </w:r>
      <w:r>
        <w:t xml:space="preserve"> </w:t>
      </w:r>
      <w:r>
        <w:t xml:space="preserve">1.7630740</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29ffecb0-c603-48ad-ac42-30fa3e25afaa"/>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1.7630740</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images/flujoarqref1.png"/>
    <w:p>
      <w:pPr>
        <w:pStyle w:val="CaptionedFigure"/>
      </w:pPr>
      <w:bookmarkStart w:id="53" w:name="fig:images/flujoarqref1.pn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a7c403b-2225-4137-96a0-2fbe1c71c951"/>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1.7630740</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 FNA</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1.7630740</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16 Aug 2023</w:t>
      </w:r>
    </w:p>
    <w:p>
      <w:pPr>
        <w:pStyle w:val="Textodebloque"/>
      </w:pPr>
      <w:r>
        <w:rPr>
          <w:bCs/>
          <w:b/>
        </w:rPr>
        <w:t xml:space="preserve">Versión</w:t>
      </w:r>
      <w:r>
        <w:t xml:space="preserve"> </w:t>
      </w:r>
      <w:r>
        <w:t xml:space="preserve">1.7630740</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a0bcdb93-5a6d-40e6-ae93-0a8f49310629"/>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1.7630740</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251822"/>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251822"/>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basada en el concepto de malla de servicios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datimage1.png"/>
    <w:p>
      <w:pPr>
        <w:pStyle w:val="CaptionedFigure"/>
      </w:pPr>
      <w:bookmarkStart w:id="133" w:name="fig:datimage1.pn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 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13f8013a-803d-4d1c-b6e4-4a7ece920aad"/>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ee8e0c78-dd3e-4a1d-8e0e-4ef934b9328b"/>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1.7630740</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1.7630740</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(E-Service Fase I</w:t>
      </w:r>
      <w:r>
        <w:t xml:space="preserve"> </w:t>
      </w:r>
      <w:r>
        <w:t xml:space="preserve">[</w:t>
      </w:r>
      <w:hyperlink w:anchor="ref-eservices1">
        <w:r>
          <w:rPr>
            <w:rStyle w:val="Hipervnculo"/>
            <w:bCs/>
            <w:b/>
          </w:rPr>
          <w:t xml:space="preserve">eservices1?</w:t>
        </w:r>
      </w:hyperlink>
      <w:r>
        <w:t xml:space="preserve">]</w:t>
      </w:r>
      <w:r>
        <w:t xml:space="preserve">). Esto es, la siguiente arquitectura de servicios optimiza las siguientes características en beneficio particular del FNA.</w:t>
      </w:r>
    </w:p>
    <w:p>
      <w:pPr>
        <w:pStyle w:val="Textoindependiente"/>
      </w:pPr>
      <w:r>
        <w:t xml:space="preserve">Virtudes que persigue la arquitectura de referencia SOA 2.0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7630740e99c512fca161239c9c491b51bb7c0f39/"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7630740e99c512fca161239c9c491b51bb7c0f39/"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2023-08-16T10:54:34Z</dcterms:created>
  <dcterms:modified xsi:type="dcterms:W3CDTF">2023-08-16T10:54:34Z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