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15.png" ContentType="image/png"/>
  <Override PartName="/word/media/rId78.png" ContentType="image/png"/>
  <Override PartName="/word/media/rId73.png" ContentType="image/png"/>
  <Override PartName="/word/media/rId83.png" ContentType="image/png"/>
  <Override PartName="/word/media/rId122.png" ContentType="image/png"/>
  <Override PartName="/word/media/rId127.png" ContentType="image/png"/>
  <Override PartName="/word/media/rId99.png" ContentType="image/png"/>
  <Override PartName="/word/media/rId104.png" ContentType="image/png"/>
  <Override PartName="/word/media/rId108.png" ContentType="image/png"/>
  <Override PartName="/word/media/rId46.png" ContentType="image/png"/>
  <Override PartName="/word/media/rId50.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STEF@7dca3a6</w:t>
        </w:r>
      </w:hyperlink>
      <w:r>
        <w:t xml:space="preserve"> </w:t>
      </w:r>
      <w:r>
        <w:t xml:space="preserve">del August 3, 2023.</w:t>
      </w:r>
      <w:r>
        <w:t xml:space="preserve"> </w:t>
      </w:r>
    </w:p>
    <w:p>
      <w:pPr>
        <w:pStyle w:val="Textoindependiente"/>
      </w:pPr>
      <w:r>
        <w:t xml:space="preserve">   </w:t>
      </w:r>
      <w:r>
        <w:rPr>
          <w:bCs/>
          <w:b/>
        </w:rPr>
        <w:t xml:space="preserve">Versión</w:t>
      </w:r>
      <w:r>
        <w:t xml:space="preserve"> </w:t>
      </w:r>
      <w:r>
        <w:t xml:space="preserve">del producto 1.7dca3a6 de 03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Andres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scastro</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1.7dca3a6 del 03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Aug 2023</w:t>
      </w:r>
    </w:p>
    <w:p>
      <w:pPr>
        <w:pStyle w:val="Textodebloque"/>
      </w:pPr>
      <w:r>
        <w:rPr>
          <w:bCs/>
          <w:b/>
        </w:rPr>
        <w:t xml:space="preserve">Versión</w:t>
      </w:r>
      <w:r>
        <w:t xml:space="preserve"> </w:t>
      </w:r>
      <w:r>
        <w:t xml:space="preserve">1.7dca3a6</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En el proyecto anterior, Gobierno SOA del FNA (Proyecto 1, E-Service, Fase II) se establecen objetivos de gobierno: Mantenimiento de Relación Negocio - Arquitectura (G-OBJG1), y Seguimiento a cambios en la arquitectura de referencia (G-OBJS3). Esto demanda mantenibilidad de la arquitectura de referencia, que a su vez esta es responsable de 1) dirigir y evolucionar las soluciones tecnológica del FNA. Demanda también 2) orientar el diseño de estas arquitecturas, y 3) ser el instrumento de control con el cual hacer cumplir los principios de diseño de servicios SOA del FNA y del Manual de Gobierno. Para lograr estos objetivos y responsabilidades exigidas por gobierno, es necesario que desde este proyecto, PRY02. Arquitectura de Referencia SOA 2.0 del FNA,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2"/>
    <w:p>
      <w:pPr>
        <w:pStyle w:val="Ttulo2"/>
      </w:pPr>
      <w:r>
        <w:t xml:space="preserve">Modelo de Implementación del PRY02</w:t>
      </w:r>
    </w:p>
    <w:bookmarkStart w:id="0" w:name="fig:96066eb6-a9c1-4910-8ca0-62d9281d1b4d"/>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1.7dca3a6</w:t>
            </w:r>
            <w:r>
              <w:t xml:space="preserve"> </w:t>
            </w:r>
            <w:r>
              <w:t xml:space="preserve">del 03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af7f7e228a12f512674746ca5116ea4a294f7a4"/>
    <w:p>
      <w:pPr>
        <w:pStyle w:val="Ttulo1"/>
      </w:pPr>
      <w:r>
        <w:t xml:space="preserve">Definición de Arquitectura de Referencias del FNA</w:t>
      </w:r>
    </w:p>
    <w:p>
      <w:pPr>
        <w:pStyle w:val="FirstParagraph"/>
      </w:pPr>
      <w:r>
        <w:t xml:space="preserve">Definiremos lo que en el contexto de este trabajo significa el concepto de arquitectura de referencia SOA 2.0 del FNA, y para qué sirve.</w:t>
      </w:r>
    </w:p>
    <w:p>
      <w:pPr>
        <w:pStyle w:val="Textoindependiente"/>
      </w:pPr>
      <w:r>
        <w:t xml:space="preserve">En lo general, la arquitectura de referencia del FNA (ARF, en adelante), objeto de este proyecto, es un instrumento para la toma de decisiones de cambios, similar a un mapa, tanto en la organización, funcionamiento modernización y optimización de los sistemas de información del FNA, o en alguno de los componentes primordiales. Esta último parte es importante: en este contexto, la arquitectura de referencia, distinta de un diseño de solución, no opera en artefactos ejecutables específicos, si no en componentes funcionales que las procuran materializar mediante decisiones de arquitectura (anteriores a la implementación).</w:t>
      </w:r>
    </w:p>
    <w:p>
      <w:pPr>
        <w:pStyle w:val="Textoindependiente"/>
      </w:pPr>
      <w:r>
        <w:t xml:space="preserve">Las arquitecturas de referencia del FNA (ARF) están formadas por componentes y estructuras funcionales y tecnológicas, integraciones y colaboración de datos y productos, y de servicios SOA a nivel de negocio. En virtud de esto, sirve de instrumento para el soporte de decisiones futuras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En lo particular, este instrumento tecnológico se vuelve necesario para el FNA para dirigir los cambios de los servicios SOA del FNA hacia diseños y tecnologías del plano de referencia del caso que sea, ejemplo, microservicios, REST, API, infraestructura, Nube, etc., y favorece la adopción del</w:t>
      </w:r>
      <w:r>
        <w:t xml:space="preserve"> </w:t>
      </w:r>
      <w:r>
        <w:rPr>
          <w:iCs/>
          <w:i/>
        </w:rPr>
        <w:t xml:space="preserve">estilo de arquitectura orientado a eventos</w:t>
      </w:r>
      <w:r>
        <w:t xml:space="preserve"> </w:t>
      </w:r>
      <w:r>
        <w:t xml:space="preserve">resultante de los diagnósticos anteriores (</w:t>
      </w:r>
      <w:r>
        <w:t xml:space="preserve">[</w:t>
      </w:r>
      <w:hyperlink w:anchor="ref-19ZPD5YjC">
        <w:r>
          <w:rPr>
            <w:rStyle w:val="Hipervnculo"/>
          </w:rPr>
          <w:t xml:space="preserve">1</w:t>
        </w:r>
      </w:hyperlink>
      <w:r>
        <w:t xml:space="preserve">]</w:t>
      </w:r>
      <w:r>
        <w:t xml:space="preserve"> </w:t>
      </w:r>
      <w:r>
        <w:t xml:space="preserve">y</w:t>
      </w:r>
      <w:r>
        <w:t xml:space="preserve"> </w:t>
      </w:r>
      <w:r>
        <w:t xml:space="preserve">[</w:t>
      </w:r>
      <w:hyperlink w:anchor="ref-hQTPO0iI">
        <w:r>
          <w:rPr>
            <w:rStyle w:val="Hipervnculo"/>
          </w:rPr>
          <w:t xml:space="preserve">2</w:t>
        </w:r>
      </w:hyperlink>
      <w:r>
        <w:t xml:space="preserve">]</w:t>
      </w:r>
      <w:r>
        <w:t xml:space="preserve">) para atender las funcionalidades y necesidades de negocio, con prioridad en las de la vicepresidencia de operaciones y de crédito FNA.</w:t>
      </w:r>
    </w:p>
    <w:p>
      <w:pPr>
        <w:pStyle w:val="Textoindependiente"/>
      </w:pPr>
      <w:r>
        <w:t xml:space="preserve">En este producto del proyecto definiremos la línea base de estas arquitecturas de referencia del FNA, a las que podemos llamar 2.0.</w:t>
      </w:r>
    </w:p>
    <w:bookmarkEnd w:id="43"/>
    <w:bookmarkStart w:id="44"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4"/>
    <w:bookmarkStart w:id="59"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5">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9091dce9-b383-4f65-a758-6df1892ac314"/>
    <w:p>
      <w:pPr>
        <w:pStyle w:val="CaptionedFigure"/>
      </w:pPr>
      <w:bookmarkStart w:id="49" w:name="fig:"/>
      <w:r>
        <w:drawing>
          <wp:inline>
            <wp:extent cx="5600700" cy="4878524"/>
            <wp:effectExtent b="0" l="0" r="0" t="0"/>
            <wp:docPr descr="Imagen 2: FLARQ03. Flujo de Trabajo de nivel 1 del FNA para el mantenimiento de las arquitecturas de referencia" title="" id="47" name="Picture"/>
            <a:graphic>
              <a:graphicData uri="http://schemas.openxmlformats.org/drawingml/2006/picture">
                <pic:pic>
                  <pic:nvPicPr>
                    <pic:cNvPr descr="images/flujoarqref1.png" id="48" name="Picture"/>
                    <pic:cNvPicPr>
                      <a:picLocks noChangeArrowheads="1" noChangeAspect="1"/>
                    </pic:cNvPicPr>
                  </pic:nvPicPr>
                  <pic:blipFill>
                    <a:blip r:embed="rId46"/>
                    <a:stretch>
                      <a:fillRect/>
                    </a:stretch>
                  </pic:blipFill>
                  <pic:spPr bwMode="auto">
                    <a:xfrm>
                      <a:off x="0" y="0"/>
                      <a:ext cx="5600700" cy="4878524"/>
                    </a:xfrm>
                    <a:prstGeom prst="rect">
                      <a:avLst/>
                    </a:prstGeom>
                    <a:noFill/>
                    <a:ln w="9525">
                      <a:noFill/>
                      <a:headEnd/>
                      <a:tailEnd/>
                    </a:ln>
                  </pic:spPr>
                </pic:pic>
              </a:graphicData>
            </a:graphic>
          </wp:inline>
        </w:drawing>
      </w:r>
      <w:bookmarkEnd w:id="49"/>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9c63fe98-3c76-4147-93eb-3e5bbe3dac67"/>
    <w:p>
      <w:pPr>
        <w:pStyle w:val="CaptionedFigure"/>
      </w:pPr>
      <w:bookmarkStart w:id="53" w:name="fig:"/>
      <w:r>
        <w:drawing>
          <wp:inline>
            <wp:extent cx="5600700" cy="4573557"/>
            <wp:effectExtent b="0" l="0" r="0" t="0"/>
            <wp:docPr descr="Imagen 3: FLARQ03. Estructura interna del flujo de trabajo FNA para el mantenimiento de las arquitecturas de referencia" title="" id="51" name="Picture"/>
            <a:graphic>
              <a:graphicData uri="http://schemas.openxmlformats.org/drawingml/2006/picture">
                <pic:pic>
                  <pic:nvPicPr>
                    <pic:cNvPr descr="images/flujoarqref2.png" id="52" name="Picture"/>
                    <pic:cNvPicPr>
                      <a:picLocks noChangeArrowheads="1" noChangeAspect="1"/>
                    </pic:cNvPicPr>
                  </pic:nvPicPr>
                  <pic:blipFill>
                    <a:blip r:embed="rId50"/>
                    <a:stretch>
                      <a:fillRect/>
                    </a:stretch>
                  </pic:blipFill>
                  <pic:spPr bwMode="auto">
                    <a:xfrm>
                      <a:off x="0" y="0"/>
                      <a:ext cx="5600700" cy="4573557"/>
                    </a:xfrm>
                    <a:prstGeom prst="rect">
                      <a:avLst/>
                    </a:prstGeom>
                    <a:noFill/>
                    <a:ln w="9525">
                      <a:noFill/>
                      <a:headEnd/>
                      <a:tailEnd/>
                    </a:ln>
                  </pic:spPr>
                </pic:pic>
              </a:graphicData>
            </a:graphic>
          </wp:inline>
        </w:drawing>
      </w:r>
      <w:bookmarkEnd w:id="53"/>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4"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4"/>
    <w:bookmarkStart w:id="58"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5"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5"/>
    <w:bookmarkStart w:id="57"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6"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6"/>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1.7dca3a6</w:t>
            </w:r>
            <w:r>
              <w:t xml:space="preserve"> </w:t>
            </w:r>
            <w:r>
              <w:t xml:space="preserve">del 03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7"/>
    <w:bookmarkEnd w:id="58"/>
    <w:bookmarkEnd w:id="59"/>
    <w:bookmarkStart w:id="60"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1.7dca3a6</w:t>
            </w:r>
            <w:r>
              <w:t xml:space="preserve"> </w:t>
            </w:r>
            <w:r>
              <w:t xml:space="preserve">del 03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0"/>
    <w:bookmarkStart w:id="61"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1"/>
    <w:bookmarkStart w:id="64"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63"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9"/>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9"/>
        </w:numPr>
        <w:pStyle w:val="Compact"/>
      </w:pPr>
      <w:r>
        <w:t xml:space="preserve">Arquitecto SOA FNA. Representa al personal involucrado con la oficina de arquitectura del FNA.</w:t>
      </w:r>
    </w:p>
    <w:p>
      <w:pPr>
        <w:numPr>
          <w:ilvl w:val="0"/>
          <w:numId w:val="1009"/>
        </w:numPr>
        <w:pStyle w:val="Compact"/>
      </w:pPr>
      <w:r>
        <w:t xml:space="preserve">Arquitecto Solución. Representa al personal involucrado con la oficina de arquitectura del FNA.</w:t>
      </w:r>
    </w:p>
    <w:p>
      <w:pPr>
        <w:numPr>
          <w:ilvl w:val="0"/>
          <w:numId w:val="1009"/>
        </w:numPr>
        <w:pStyle w:val="Compact"/>
      </w:pPr>
      <w:r>
        <w:t xml:space="preserve">Ingeniería FNA. Representa al personal involucrado con las áreas del desarrollo de soluciones de software y sistemas de información del FNA.</w:t>
      </w:r>
    </w:p>
    <w:p>
      <w:pPr>
        <w:pStyle w:val="FirstParagraph"/>
      </w:pPr>
    </w:p>
    <w:p>
      <w:pPr>
        <w:pStyle w:val="Textoindependiente"/>
      </w:pPr>
      <w:r>
        <w:t xml:space="preserve">Las responsabilidades de estos roles están descritas como sigue</w:t>
      </w:r>
    </w:p>
    <w:bookmarkStart w:id="0" w:name="tbl:rolresp-id"/>
    <w:bookmarkStart w:id="62"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2"/>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Aug 2023</w:t>
      </w:r>
    </w:p>
    <w:p>
      <w:pPr>
        <w:pStyle w:val="Textodebloque"/>
      </w:pPr>
      <w:r>
        <w:rPr>
          <w:bCs/>
          <w:b/>
        </w:rPr>
        <w:t xml:space="preserve">Versión</w:t>
      </w:r>
      <w:r>
        <w:t xml:space="preserve"> </w:t>
      </w:r>
      <w:r>
        <w:t xml:space="preserve">1.7dca3a6</w:t>
      </w:r>
    </w:p>
    <w:p>
      <w:pPr>
        <w:pStyle w:val="FirstParagraph"/>
      </w:pPr>
    </w:p>
    <w:bookmarkEnd w:id="63"/>
    <w:bookmarkEnd w:id="64"/>
    <w:bookmarkStart w:id="72"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En virtud de esto se da el soporte de futuras decisiones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5"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5"/>
    <w:bookmarkStart w:id="66" w:name="contenidos-2"/>
    <w:p>
      <w:pPr>
        <w:pStyle w:val="Ttulo2"/>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 del FNA</w:t>
      </w:r>
    </w:p>
    <w:p>
      <w:pPr>
        <w:numPr>
          <w:ilvl w:val="0"/>
          <w:numId w:val="1010"/>
        </w:numPr>
        <w:pStyle w:val="Compact"/>
      </w:pPr>
      <w:r>
        <w:t xml:space="preserve">Vistas lógicas y conceptuales de las arquitecturas de referencia del FNA</w:t>
      </w:r>
    </w:p>
    <w:p>
      <w:pPr>
        <w:numPr>
          <w:ilvl w:val="0"/>
          <w:numId w:val="1010"/>
        </w:numPr>
        <w:pStyle w:val="Compact"/>
      </w:pPr>
      <w:r>
        <w:t xml:space="preserve">Documentación técnica 0.1 de la Arquitectura de Referencia 2.0 del FNA</w:t>
      </w:r>
    </w:p>
    <w:p>
      <w:pPr>
        <w:pStyle w:val="FirstParagraph"/>
      </w:pPr>
    </w:p>
    <w:bookmarkEnd w:id="66"/>
    <w:bookmarkStart w:id="67" w:name="criterios-de-aceptación-1"/>
    <w:p>
      <w:pPr>
        <w:pStyle w:val="Ttulo2"/>
      </w:pPr>
      <w:r>
        <w:t xml:space="preserve">Criterios de Aceptación</w:t>
      </w:r>
    </w:p>
    <w:p>
      <w:pPr>
        <w:numPr>
          <w:ilvl w:val="0"/>
          <w:numId w:val="1011"/>
        </w:numPr>
        <w:pStyle w:val="Compact"/>
      </w:pPr>
      <w:r>
        <w:t xml:space="preserve">Entendimiento de las vistas lógicas y conceptuales de las arquitecturas de referencia del FNA</w:t>
      </w:r>
    </w:p>
    <w:p>
      <w:pPr>
        <w:numPr>
          <w:ilvl w:val="0"/>
          <w:numId w:val="1011"/>
        </w:numPr>
        <w:pStyle w:val="Compact"/>
      </w:pPr>
      <w:r>
        <w:t xml:space="preserve">Entendimiento de los procedimientos para creación y mantenimiento de las arquitecturas de referencia del FNA</w:t>
      </w:r>
    </w:p>
    <w:p>
      <w:pPr>
        <w:numPr>
          <w:ilvl w:val="0"/>
          <w:numId w:val="1011"/>
        </w:numPr>
        <w:pStyle w:val="Compact"/>
      </w:pPr>
      <w:r>
        <w:t xml:space="preserve">ntendimiento de las consideraciones para la implementación de las arquitecturas de referencia del FNA</w:t>
      </w:r>
    </w:p>
    <w:p>
      <w:pPr>
        <w:pStyle w:val="FirstParagraph"/>
      </w:pPr>
    </w:p>
    <w:bookmarkEnd w:id="67"/>
    <w:bookmarkStart w:id="71" w:name="modelo-de-implementación-del-pry02-1"/>
    <w:p>
      <w:pPr>
        <w:pStyle w:val="Ttulo2"/>
      </w:pPr>
      <w:r>
        <w:t xml:space="preserve">Modelo de Implementación del PRY02</w:t>
      </w:r>
    </w:p>
    <w:bookmarkStart w:id="0" w:name="fig:7727b95d-45b8-4ca8-aa3e-a4fd821ecb7d"/>
    <w:p>
      <w:pPr>
        <w:pStyle w:val="CaptionedFigure"/>
      </w:pPr>
      <w:bookmarkStart w:id="70" w:name="fig:"/>
      <w:r>
        <w:drawing>
          <wp:inline>
            <wp:extent cx="5600700" cy="4264411"/>
            <wp:effectExtent b="0" l="0" r="0" t="0"/>
            <wp:docPr descr="Imagen 4: Plan de Implementación del Proyecto Hoja de Ruta E-Service FNA, 2023. Abril 2023 a Agosto 2023" title="" id="68" name="Picture"/>
            <a:graphic>
              <a:graphicData uri="http://schemas.openxmlformats.org/drawingml/2006/picture">
                <pic:pic>
                  <pic:nvPicPr>
                    <pic:cNvPr descr="images/pry2.png" id="69"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70"/>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1.7dca3a6</w:t>
            </w:r>
            <w:r>
              <w:t xml:space="preserve"> </w:t>
            </w:r>
            <w:r>
              <w:t xml:space="preserve">del 03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1"/>
    <w:bookmarkEnd w:id="72"/>
    <w:bookmarkStart w:id="12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la misma que implica a las problemáticas diagnosticadas en Fase I</w:t>
      </w:r>
      <w:r>
        <w:t xml:space="preserve"> </w:t>
      </w:r>
      <w:r>
        <w:t xml:space="preserve">[</w:t>
      </w:r>
      <w:hyperlink w:anchor="ref-19ZPD5YjC">
        <w:r>
          <w:rPr>
            <w:rStyle w:val="Hipervnculo"/>
          </w:rPr>
          <w:t xml:space="preserve">1</w:t>
        </w:r>
      </w:hyperlink>
      <w:r>
        <w:t xml:space="preserve">]</w:t>
      </w:r>
      <w:r>
        <w:t xml:space="preserve"> </w:t>
      </w:r>
      <w:r>
        <w:t xml:space="preserve">(ver Resumen de problemas diagnosticados, E-Service, Fase I, 2022 en</w:t>
      </w:r>
      <w:r>
        <w:t xml:space="preserve"> </w:t>
      </w:r>
      <w:r>
        <w:t xml:space="preserve">[</w:t>
      </w:r>
      <w:hyperlink w:anchor="ref-l0mriBft">
        <w:r>
          <w:rPr>
            <w:rStyle w:val="Hipervnculo"/>
          </w:rPr>
          <w:t xml:space="preserve">3</w:t>
        </w:r>
      </w:hyperlink>
      <w:r>
        <w:t xml:space="preserve">]</w:t>
      </w:r>
      <w:r>
        <w:t xml:space="preserve">). Sobre este plano realizaremos luego las propuestas de las vistas funcionales que fungen como arquitecturas de referencia en tanto que proyectan el entendimiento funcional destino útil para enfrentar dichas problemáticas planteadas en</w:t>
      </w:r>
      <w:r>
        <w:t xml:space="preserve"> </w:t>
      </w:r>
      <w:r>
        <w:t xml:space="preserve">[</w:t>
      </w:r>
      <w:hyperlink w:anchor="ref-19ZPD5YjC">
        <w:r>
          <w:rPr>
            <w:rStyle w:val="Hipervnculo"/>
          </w:rPr>
          <w:t xml:space="preserve">1</w:t>
        </w:r>
      </w:hyperlink>
      <w:r>
        <w:t xml:space="preserve">]</w:t>
      </w:r>
      <w:r>
        <w:t xml:space="preserve">, eservices3-22 y</w:t>
      </w:r>
      <w:r>
        <w:t xml:space="preserve"> </w:t>
      </w:r>
      <w:r>
        <w:t xml:space="preserve">[</w:t>
      </w:r>
      <w:hyperlink w:anchor="ref-l0mriBft">
        <w:r>
          <w:rPr>
            <w:rStyle w:val="Hipervnculo"/>
          </w:rPr>
          <w:t xml:space="preserve">3</w:t>
        </w:r>
      </w:hyperlink>
      <w:r>
        <w:t xml:space="preserve">]</w:t>
      </w:r>
      <w:r>
        <w:t xml:space="preserve">, y que se resumen en las siguientes.</w:t>
      </w:r>
    </w:p>
    <w:p>
      <w:pPr>
        <w:numPr>
          <w:ilvl w:val="0"/>
          <w:numId w:val="1012"/>
        </w:numPr>
        <w:pStyle w:val="Compact"/>
      </w:pPr>
      <w:r>
        <w:t xml:space="preserve">Dependencia de proveedor (OBJ1)</w:t>
      </w:r>
    </w:p>
    <w:p>
      <w:pPr>
        <w:numPr>
          <w:ilvl w:val="0"/>
          <w:numId w:val="1012"/>
        </w:numPr>
        <w:pStyle w:val="Compact"/>
      </w:pPr>
      <w:r>
        <w:t xml:space="preserve">Fortaleza SOA de las aplicaciones (OBJ2)</w:t>
      </w:r>
    </w:p>
    <w:p>
      <w:pPr>
        <w:numPr>
          <w:ilvl w:val="0"/>
          <w:numId w:val="1012"/>
        </w:numPr>
        <w:pStyle w:val="Compact"/>
      </w:pPr>
      <w:r>
        <w:t xml:space="preserve">Tiempo de mercado (OBJ3)</w:t>
      </w:r>
    </w:p>
    <w:p>
      <w:pPr>
        <w:pStyle w:val="FirstParagraph"/>
      </w:pPr>
      <w:r>
        <w:rPr>
          <w:iCs/>
          <w:i/>
        </w:rPr>
        <w:t xml:space="preserve">Fuente: E-Service, Fase I (2022).</w:t>
      </w:r>
    </w:p>
    <w:bookmarkStart w:id="98" w:name="dominio-de-servicios-y-aplicaciones-fna"/>
    <w:p>
      <w:pPr>
        <w:pStyle w:val="Ttulo2"/>
      </w:pPr>
      <w:r>
        <w:t xml:space="preserve">Dominio de Servicios y Aplicaciones FNA</w:t>
      </w:r>
    </w:p>
    <w:bookmarkStart w:id="77"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arqimage1.png"/>
    <w:p>
      <w:pPr>
        <w:pStyle w:val="CaptionedFigure"/>
      </w:pPr>
      <w:bookmarkStart w:id="76" w:name="fig:arqimage1.png"/>
      <w:r>
        <w:drawing>
          <wp:inline>
            <wp:extent cx="5600700" cy="3267074"/>
            <wp:effectExtent b="0" l="0" r="0" t="0"/>
            <wp:docPr descr="Imagen 5: Fondo Nacional del Ahorro - Vista general de arquitectura actual" title="" id="74" name="Picture"/>
            <a:graphic>
              <a:graphicData uri="http://schemas.openxmlformats.org/drawingml/2006/picture">
                <pic:pic>
                  <pic:nvPicPr>
                    <pic:cNvPr descr="images/arqimage1.png" id="75" name="Picture"/>
                    <pic:cNvPicPr>
                      <a:picLocks noChangeArrowheads="1" noChangeAspect="1"/>
                    </pic:cNvPicPr>
                  </pic:nvPicPr>
                  <pic:blipFill>
                    <a:blip r:embed="rId73"/>
                    <a:stretch>
                      <a:fillRect/>
                    </a:stretch>
                  </pic:blipFill>
                  <pic:spPr bwMode="auto">
                    <a:xfrm>
                      <a:off x="0" y="0"/>
                      <a:ext cx="5600700" cy="3267074"/>
                    </a:xfrm>
                    <a:prstGeom prst="rect">
                      <a:avLst/>
                    </a:prstGeom>
                    <a:noFill/>
                    <a:ln w="9525">
                      <a:noFill/>
                      <a:headEnd/>
                      <a:tailEnd/>
                    </a:ln>
                  </pic:spPr>
                </pic:pic>
              </a:graphicData>
            </a:graphic>
          </wp:inline>
        </w:drawing>
      </w:r>
      <w:bookmarkEnd w:id="76"/>
    </w:p>
    <w:p>
      <w:pPr>
        <w:pStyle w:val="ImageCaption"/>
      </w:pPr>
      <w:r>
        <w:t xml:space="preserve">Imagen 5: Fondo Nacional del Ahorro - Vista general de arquitectura actual</w:t>
      </w:r>
    </w:p>
    <w:bookmarkEnd w:id="0"/>
    <w:p>
      <w:pPr>
        <w:pStyle w:val="Textoindependiente"/>
      </w:pPr>
    </w:p>
    <w:bookmarkEnd w:id="77"/>
    <w:bookmarkStart w:id="88"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2"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arqimage1.1.png"/>
    <w:p>
      <w:pPr>
        <w:pStyle w:val="CaptionedFigure"/>
      </w:pPr>
      <w:bookmarkStart w:id="81" w:name="fig:arqimage1.1.png"/>
      <w:r>
        <w:drawing>
          <wp:inline>
            <wp:extent cx="5600700" cy="3015761"/>
            <wp:effectExtent b="0" l="0" r="0" t="0"/>
            <wp:docPr descr="Imagen 6: Fondo Nacional del Ahorro - Vista general de arquitectura de referencia. Nivel de detalle 1. Separación de segmentos de la arquitectura de referencia del FNA." title="" id="79" name="Picture"/>
            <a:graphic>
              <a:graphicData uri="http://schemas.openxmlformats.org/drawingml/2006/picture">
                <pic:pic>
                  <pic:nvPicPr>
                    <pic:cNvPr descr="images/arqimage1.1.png" id="80" name="Picture"/>
                    <pic:cNvPicPr>
                      <a:picLocks noChangeArrowheads="1" noChangeAspect="1"/>
                    </pic:cNvPicPr>
                  </pic:nvPicPr>
                  <pic:blipFill>
                    <a:blip r:embed="rId78"/>
                    <a:stretch>
                      <a:fillRect/>
                    </a:stretch>
                  </pic:blipFill>
                  <pic:spPr bwMode="auto">
                    <a:xfrm>
                      <a:off x="0" y="0"/>
                      <a:ext cx="5600700" cy="3015761"/>
                    </a:xfrm>
                    <a:prstGeom prst="rect">
                      <a:avLst/>
                    </a:prstGeom>
                    <a:noFill/>
                    <a:ln w="9525">
                      <a:noFill/>
                      <a:headEnd/>
                      <a:tailEnd/>
                    </a:ln>
                  </pic:spPr>
                </pic:pic>
              </a:graphicData>
            </a:graphic>
          </wp:inline>
        </w:drawing>
      </w:r>
      <w:bookmarkEnd w:id="81"/>
    </w:p>
    <w:p>
      <w:pPr>
        <w:pStyle w:val="ImageCaption"/>
      </w:pPr>
      <w:r>
        <w:t xml:space="preserve">Imagen 6: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82"/>
    <w:bookmarkStart w:id="87"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86" w:name="fig:arqimage2.png"/>
      <w:r>
        <w:drawing>
          <wp:inline>
            <wp:extent cx="5600700" cy="3015761"/>
            <wp:effectExtent b="0" l="0" r="0" t="0"/>
            <wp:docPr descr="Imagen 7: Fondo Nacional del Ahorro - Vista general de arquitectura de referencia. Nivel de detalle 2. Separación de subsegmentos de la arquitectura de referencia del FNA." title="" id="84" name="Picture"/>
            <a:graphic>
              <a:graphicData uri="http://schemas.openxmlformats.org/drawingml/2006/picture">
                <pic:pic>
                  <pic:nvPicPr>
                    <pic:cNvPr descr="images/arqimage2.png" id="85" name="Picture"/>
                    <pic:cNvPicPr>
                      <a:picLocks noChangeArrowheads="1" noChangeAspect="1"/>
                    </pic:cNvPicPr>
                  </pic:nvPicPr>
                  <pic:blipFill>
                    <a:blip r:embed="rId83"/>
                    <a:stretch>
                      <a:fillRect/>
                    </a:stretch>
                  </pic:blipFill>
                  <pic:spPr bwMode="auto">
                    <a:xfrm>
                      <a:off x="0" y="0"/>
                      <a:ext cx="5600700" cy="3015761"/>
                    </a:xfrm>
                    <a:prstGeom prst="rect">
                      <a:avLst/>
                    </a:prstGeom>
                    <a:noFill/>
                    <a:ln w="9525">
                      <a:noFill/>
                      <a:headEnd/>
                      <a:tailEnd/>
                    </a:ln>
                  </pic:spPr>
                </pic:pic>
              </a:graphicData>
            </a:graphic>
          </wp:inline>
        </w:drawing>
      </w:r>
      <w:bookmarkEnd w:id="86"/>
    </w:p>
    <w:p>
      <w:pPr>
        <w:pStyle w:val="ImageCaption"/>
      </w:pPr>
      <w:r>
        <w:t xml:space="preserve">Imagen 7: Fondo Nacional del Ahorro - Vista general de arquitectura de referencia. Nivel de detalle 2. Separación de subsegmentos de la arquitectura de referencia del FNA.</w:t>
      </w:r>
    </w:p>
    <w:bookmarkEnd w:id="0"/>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bookmarkEnd w:id="87"/>
    <w:bookmarkEnd w:id="88"/>
    <w:bookmarkStart w:id="97" w:name="Xf2848fda90cbf5119b1ac784f15161cd77b81c9"/>
    <w:p>
      <w:pPr>
        <w:pStyle w:val="Ttulo3"/>
      </w:pPr>
      <w:r>
        <w:t xml:space="preserve">Características de la Arquitectura de Servicios 2.0 del FNA</w:t>
      </w:r>
    </w:p>
    <w:bookmarkStart w:id="89" w:name="actualización-de-estilo-de-arquitectura"/>
    <w:p>
      <w:pPr>
        <w:pStyle w:val="Ttulo4"/>
      </w:pPr>
      <w:r>
        <w:t xml:space="preserve">Actualización de estilo de arquitectura</w:t>
      </w:r>
    </w:p>
    <w:p>
      <w:pPr>
        <w:pStyle w:val="FirstParagraph"/>
      </w:pPr>
      <w:r>
        <w:t xml:space="preserve">Promover el uso de microservicios como estilo de arquitectura para ser integrado con la estrategia SOA existente en el FNA​. Mas en particular, esto permite proponer esquemas de arquitectura desacopladas​, actualizar el portafolio de servicios del FNA con tecnologías actuales mediante un estilo de arquitectura orientada a microservicios​, y propender por la agilidad en el desarrollo de soluciones.</w:t>
      </w:r>
    </w:p>
    <w:bookmarkEnd w:id="89"/>
    <w:bookmarkStart w:id="90" w:name="Xd74984e6d7b026c2e3c5ca0523a832b900758cf"/>
    <w:p>
      <w:pPr>
        <w:pStyle w:val="Ttulo4"/>
      </w:pPr>
      <w:r>
        <w:t xml:space="preserve">Institucionalización del Portafolio de Servicios</w:t>
      </w:r>
    </w:p>
    <w:p>
      <w:pPr>
        <w:pStyle w:val="FirstParagraph"/>
      </w:pPr>
      <w:r>
        <w:t xml:space="preserve">Establecer un portafolio institucional de funcionalidades, recursos y datos expuestos en mayor parte por API que sirva a la vez como fuente única de la verdad sobre las versiones, tecnologías y operaciones funcionales del FNA. Esta característica allana ventajas tanto directas como la gestión y estructuración del portafolio de API del FNA​, como otras un tanto indirectas, como la definición de los contratos de las API, las tecnologías y los atributos de calidad de las API de la organización​.</w:t>
      </w:r>
    </w:p>
    <w:bookmarkEnd w:id="90"/>
    <w:bookmarkStart w:id="91" w:name="Xc6dd84937de76ad5a8c6617f7c73e7e362981af"/>
    <w:p>
      <w:pPr>
        <w:pStyle w:val="Ttulo4"/>
      </w:pPr>
      <w:r>
        <w:t xml:space="preserve">Modernización y robustez de la gestión de servicios</w:t>
      </w:r>
    </w:p>
    <w:p>
      <w:pPr>
        <w:pStyle w:val="FirstParagraph"/>
      </w:pPr>
      <w:r>
        <w:t xml:space="preserve">Mejorar de la comunicación, estabilidad (reintento y tolerancia a fallos) y la disponibilidad de servicios SOA y microservicios del Fondo Nacional mediante el uso de comunicadores (proxys). En cuanto a la gestión de servicios esta característica trae ventajas como la modernizar de los mecanismos de orquestación de servicios​, propone alternativas para el manejo de escalabilidad, seguridad y monitoreo de servicios​, y orienta la operación de servicios hacia la computación en la nube​.</w:t>
      </w:r>
    </w:p>
    <w:bookmarkEnd w:id="91"/>
    <w:bookmarkStart w:id="92" w:name="X5df8e74dd09f4a56e55c10003d15edf03df5ca6"/>
    <w:p>
      <w:pPr>
        <w:pStyle w:val="Ttulo4"/>
      </w:pPr>
      <w:r>
        <w:t xml:space="preserve">Redefinición de la integración de servicios y aplicaciones</w:t>
      </w:r>
    </w:p>
    <w:p>
      <w:pPr>
        <w:pStyle w:val="FirstParagraph"/>
      </w:pPr>
      <w:r>
        <w:t xml:space="preserve">Establecer un esquema de integración orientado a mensajes integrado a su vez con mecanismos de comunicación síncronos​. Esta característica potencializa el uso de la tecnología de integración instalada, esto es, el ESB del FNA, así como las soluciones de colas y mensajería), moderniza los esquemas de integración de la organización mediante la hibridación de modelos de comunicación (síncronos y asíncronos)​, y</w:t>
      </w:r>
      <w:r>
        <w:t xml:space="preserve"> </w:t>
      </w:r>
      <w:r>
        <w:rPr>
          <w:iCs/>
          <w:i/>
        </w:rPr>
        <w:t xml:space="preserve">propende por arquitecturas orientadas a eventos​</w:t>
      </w:r>
      <w:r>
        <w:t xml:space="preserve">.</w:t>
      </w:r>
    </w:p>
    <w:bookmarkEnd w:id="92"/>
    <w:bookmarkStart w:id="93" w:name="Xf08379253700601a3040d84e1af785cc89ba4a0"/>
    <w:p>
      <w:pPr>
        <w:pStyle w:val="Ttulo4"/>
      </w:pPr>
      <w:r>
        <w:t xml:space="preserve">Aumento del rendimiento en el transporte de datos y operaciones</w:t>
      </w:r>
    </w:p>
    <w:p>
      <w:pPr>
        <w:pStyle w:val="FirstParagraph"/>
      </w:pPr>
      <w:r>
        <w:t xml:space="preserve">Proveer una plataforma de datos de alta velocidad que intermedie entre el API Gateway y la Plataforma híbrida de integración, estas dos nuevas características antes descritas que la requieren. Además, esta mejora en el rendimiento viene a propicia mayor desacoplamiento de sistemas de información​, vienen a bajar la latencia de las consultas de información, y como ventaja a otros segmentos de la arquitectura del FNA, beneficia la alimentación a los repositorios analíticos.</w:t>
      </w:r>
    </w:p>
    <w:bookmarkEnd w:id="93"/>
    <w:bookmarkStart w:id="94" w:name="X3a2c660a24f4aa2aeab5a36e13437363f57a6da"/>
    <w:p>
      <w:pPr>
        <w:pStyle w:val="Ttulo4"/>
      </w:pPr>
      <w:r>
        <w:t xml:space="preserve">Conversión de datos a productos. Reestructuración de las entidades de datos de misión</w:t>
      </w:r>
    </w:p>
    <w:p>
      <w:pPr>
        <w:pStyle w:val="FirstParagraph"/>
      </w:pPr>
      <w:r>
        <w:t xml:space="preserve">Implementar una estrategia de datos que permita al FNA gestionar los datos del Crédito y Operaciones del FNA, actualmente cautivos en ERP misional, Cobis, como un activo consumible e independiente. El objeto es gestionar la información hacia el aumento del valor que el FNA obtiene de los datos actuales mediando por la posibilidad de aprovechar las oportunidades de uso y explotación sin incrementar los costos de inversión de tecnología ni los riesgos de desaprovechamiento (ver [Medidas de Efectividad de Costos de Inversión en Arquitectura] en producto siete (7), PR07, de este proyecto). Dentro de las ventajas que esta característica observa están el traducir las necesidades del negocio en requerimientos de datos y de sistemas de información, propiamente dichos, en favor de los procesos de negocio del FNA; allana el terreno de la Arquitectura Empresarial del FNA en cuanto al soporte de decisiones en particular de índole estratégico y operacional; extiende la empresa a otras (B2B) en tanto que estratifica la información que el Fondo Nacional expone a otras empresas –el concepto de producto de dato es afín a las tecnologías actuales.</w:t>
      </w:r>
    </w:p>
    <w:bookmarkEnd w:id="94"/>
    <w:bookmarkStart w:id="95" w:name="preservación-del-eje-de-datos-comunes"/>
    <w:p>
      <w:pPr>
        <w:pStyle w:val="Ttulo4"/>
      </w:pPr>
      <w:r>
        <w:t xml:space="preserve">Preservación del eje de datos comunes</w:t>
      </w:r>
    </w:p>
    <w:p>
      <w:pPr>
        <w:pStyle w:val="FirstParagraph"/>
      </w:pPr>
      <w:r>
        <w:t xml:space="preserve">Implementa la figura del dato compartido y la refuerza con herramientas para la gestión de estos datos compartidos. Los datos compartidos (una variedad en eficiencia del MDM) dan a conocer la información hegemónica de la empresa –exigible a toda la empresa–distinta de la intradepartamental, y prohíbe la redundancia de estos datos, beneficio que se extiende a los costos de integración de los datos​. La concentración de los datos compartidos se dirige hacia la creación de fuentes de información autorizada (propiedad por antonomasia de los datos maestros) y que colabora con otras iniciativas como las que persiguen la calidad​ de los datos en las empresas. En lo normativo también reporta avances para el FNA: esta característica observa el cumplimiento con Gobierno Digital de Colombia.</w:t>
      </w:r>
    </w:p>
    <w:bookmarkEnd w:id="95"/>
    <w:bookmarkStart w:id="96" w:name="X9d6c8b839ea6853926c866765a5e58b89f4ea0c"/>
    <w:p>
      <w:pPr>
        <w:pStyle w:val="Ttulo4"/>
      </w:pPr>
      <w:r>
        <w:t xml:space="preserve">Longevidad y escalabilidad: servicios dirigidos a la computación en la nube</w:t>
      </w:r>
    </w:p>
    <w:p>
      <w:pPr>
        <w:pStyle w:val="FirstParagraph"/>
      </w:pPr>
      <w:r>
        <w:t xml:space="preserve">De extrema importancia: esta característica agravar la problemática de dependencia a ningún otro proveedor, de nube en este caso. Esta característica, tal como está aquí propuesta, persigue los beneficios que esta modalidad de cómputo provee pero con una disposición prudente de los elementos de infraestructura suficiente para cuidar al Fondo Nacional de no caer en los extremos de la sobreingeniería de la nube y que preserva partes del contexto actual de la empresa. Sobre es consideración, busca elevar (no ceder) los niveles de eficiencia operativa y administrativa de las servicios y plataformas de infraestructura (IaaS, PaaS respectivamente), los de escalabilidad y los rendimiento mientras mantiene compatibilidades con el gobierno de TI del FNA. Los sustentos de esta característica son la adopción del enfoque de microservicios ​híbrido, local interno y remoto (nube), el uso y la orquestación de contenedores, y la migración hacia servicios administrados de nube (PaaS).</w:t>
      </w:r>
    </w:p>
    <w:p>
      <w:pPr>
        <w:pStyle w:val="Textoindependiente"/>
      </w:pPr>
    </w:p>
    <w:bookmarkEnd w:id="96"/>
    <w:bookmarkEnd w:id="97"/>
    <w:bookmarkEnd w:id="98"/>
    <w:bookmarkStart w:id="11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103" w:name="pilares-de-la-malla-de-datos-data-mesh"/>
    <w:p>
      <w:pPr>
        <w:pStyle w:val="Ttulo3"/>
      </w:pPr>
      <w:r>
        <w:t xml:space="preserve">Pilares de la Malla de Datos (data mesh)</w:t>
      </w:r>
    </w:p>
    <w:bookmarkStart w:id="0" w:name="fig:74158e24-128c-4387-b380-107736b03291"/>
    <w:p>
      <w:pPr>
        <w:pStyle w:val="CaptionedFigure"/>
      </w:pPr>
      <w:bookmarkStart w:id="102" w:name="fig:"/>
      <w:r>
        <w:drawing>
          <wp:inline>
            <wp:extent cx="5486400" cy="2743200"/>
            <wp:effectExtent b="0" l="0" r="0" t="0"/>
            <wp:docPr descr="Imagen 8: Malla de datos para el FNA" title="" id="100" name="Picture"/>
            <a:graphic>
              <a:graphicData uri="http://schemas.openxmlformats.org/drawingml/2006/picture">
                <pic:pic>
                  <pic:nvPicPr>
                    <pic:cNvPr descr="images/datimage1.png" id="101" name="Picture"/>
                    <pic:cNvPicPr>
                      <a:picLocks noChangeArrowheads="1" noChangeAspect="1"/>
                    </pic:cNvPicPr>
                  </pic:nvPicPr>
                  <pic:blipFill>
                    <a:blip r:embed="rId99"/>
                    <a:stretch>
                      <a:fillRect/>
                    </a:stretch>
                  </pic:blipFill>
                  <pic:spPr bwMode="auto">
                    <a:xfrm>
                      <a:off x="0" y="0"/>
                      <a:ext cx="5486400" cy="2743200"/>
                    </a:xfrm>
                    <a:prstGeom prst="rect">
                      <a:avLst/>
                    </a:prstGeom>
                    <a:noFill/>
                    <a:ln w="9525">
                      <a:noFill/>
                      <a:headEnd/>
                      <a:tailEnd/>
                    </a:ln>
                  </pic:spPr>
                </pic:pic>
              </a:graphicData>
            </a:graphic>
          </wp:inline>
        </w:drawing>
      </w:r>
      <w:bookmarkEnd w:id="102"/>
    </w:p>
    <w:p>
      <w:pPr>
        <w:pStyle w:val="ImageCaption"/>
      </w:pPr>
      <w:r>
        <w:t xml:space="preserve">Imagen 8: Malla de datos para el FNA</w:t>
      </w:r>
    </w:p>
    <w:bookmarkEnd w:id="0"/>
    <w:bookmarkEnd w:id="103"/>
    <w:bookmarkStart w:id="11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 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5f7190e2-d65e-41af-885a-fcde2cd7d744"/>
    <w:p>
      <w:pPr>
        <w:pStyle w:val="CaptionedFigure"/>
      </w:pPr>
      <w:bookmarkStart w:id="107" w:name="fig:"/>
      <w:r>
        <w:drawing>
          <wp:inline>
            <wp:extent cx="5486400" cy="3200400"/>
            <wp:effectExtent b="0" l="0" r="0" t="0"/>
            <wp:docPr descr="Imagen 9: Plano de Datos Objetivo del FNA" title="" id="105" name="Picture"/>
            <a:graphic>
              <a:graphicData uri="http://schemas.openxmlformats.org/drawingml/2006/picture">
                <pic:pic>
                  <pic:nvPicPr>
                    <pic:cNvPr descr="images/datimage2.png" id="106" name="Picture"/>
                    <pic:cNvPicPr>
                      <a:picLocks noChangeArrowheads="1" noChangeAspect="1"/>
                    </pic:cNvPicPr>
                  </pic:nvPicPr>
                  <pic:blipFill>
                    <a:blip r:embed="rId104"/>
                    <a:stretch>
                      <a:fillRect/>
                    </a:stretch>
                  </pic:blipFill>
                  <pic:spPr bwMode="auto">
                    <a:xfrm>
                      <a:off x="0" y="0"/>
                      <a:ext cx="5486400" cy="3200400"/>
                    </a:xfrm>
                    <a:prstGeom prst="rect">
                      <a:avLst/>
                    </a:prstGeom>
                    <a:noFill/>
                    <a:ln w="9525">
                      <a:noFill/>
                      <a:headEnd/>
                      <a:tailEnd/>
                    </a:ln>
                  </pic:spPr>
                </pic:pic>
              </a:graphicData>
            </a:graphic>
          </wp:inline>
        </w:drawing>
      </w:r>
      <w:bookmarkEnd w:id="107"/>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7afe5c16-7a55-4e2b-bf24-e3541909a0e8"/>
    <w:p>
      <w:pPr>
        <w:pStyle w:val="CaptionedFigure"/>
      </w:pPr>
      <w:bookmarkStart w:id="111" w:name="fig:"/>
      <w:r>
        <w:drawing>
          <wp:inline>
            <wp:extent cx="5486400" cy="2194560"/>
            <wp:effectExtent b="0" l="0" r="0" t="0"/>
            <wp:docPr descr="Imagen 10: Marcos de referencia aplicables a la arquitectura de información" title="" id="109" name="Picture"/>
            <a:graphic>
              <a:graphicData uri="http://schemas.openxmlformats.org/drawingml/2006/picture">
                <pic:pic>
                  <pic:nvPicPr>
                    <pic:cNvPr descr="images/datimage3.png" id="110" name="Picture"/>
                    <pic:cNvPicPr>
                      <a:picLocks noChangeArrowheads="1" noChangeAspect="1"/>
                    </pic:cNvPicPr>
                  </pic:nvPicPr>
                  <pic:blipFill>
                    <a:blip r:embed="rId108"/>
                    <a:stretch>
                      <a:fillRect/>
                    </a:stretch>
                  </pic:blipFill>
                  <pic:spPr bwMode="auto">
                    <a:xfrm>
                      <a:off x="0" y="0"/>
                      <a:ext cx="5486400" cy="2194560"/>
                    </a:xfrm>
                    <a:prstGeom prst="rect">
                      <a:avLst/>
                    </a:prstGeom>
                    <a:noFill/>
                    <a:ln w="9525">
                      <a:noFill/>
                      <a:headEnd/>
                      <a:tailEnd/>
                    </a:ln>
                  </pic:spPr>
                </pic:pic>
              </a:graphicData>
            </a:graphic>
          </wp:inline>
        </w:drawing>
      </w:r>
      <w:bookmarkEnd w:id="111"/>
    </w:p>
    <w:p>
      <w:pPr>
        <w:pStyle w:val="ImageCaption"/>
      </w:pPr>
      <w:r>
        <w:t xml:space="preserve">Imagen 10: Marcos de referencia aplicables a la arquitectura de información</w:t>
      </w:r>
    </w:p>
    <w:bookmarkEnd w:id="0"/>
    <w:bookmarkEnd w:id="112"/>
    <w:bookmarkStart w:id="113" w:name="Xd6cd0ce8984cb81bba8dcedc13cad8be90d8528"/>
    <w:p>
      <w:pPr>
        <w:pStyle w:val="Ttulo3"/>
      </w:pPr>
      <w:r>
        <w:t xml:space="preserve">Características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 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113"/>
    <w:bookmarkEnd w:id="114"/>
    <w:bookmarkStart w:id="12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plataforma en la nube. Dentro de la oferta actual de componentes se pueden encontrar soluciones que permiten garantizar escalabilidad, disponibilidad, cumplimiento regulatorio y menores tiempos de salida al mercado.</w:t>
      </w:r>
    </w:p>
    <w:bookmarkStart w:id="11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16" name="Picture"/>
            <a:graphic>
              <a:graphicData uri="http://schemas.openxmlformats.org/drawingml/2006/picture">
                <pic:pic>
                  <pic:nvPicPr>
                    <pic:cNvPr descr="./images/infrimage1.png" id="117" name="Picture"/>
                    <pic:cNvPicPr>
                      <a:picLocks noChangeArrowheads="1" noChangeAspect="1"/>
                    </pic:cNvPicPr>
                  </pic:nvPicPr>
                  <pic:blipFill>
                    <a:blip r:embed="rId11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18"/>
    <w:bookmarkStart w:id="119" w:name="X162cc8fa49fef26fc151ba2ba3218ddc57209ec"/>
    <w:p>
      <w:pPr>
        <w:pStyle w:val="Ttulo3"/>
      </w:pPr>
      <w:r>
        <w:t xml:space="preserve">Características de la Arquitectura Tecnológica 2.0 del FNA</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1.7dca3a6</w:t>
            </w:r>
            <w:r>
              <w:t xml:space="preserve"> </w:t>
            </w:r>
            <w:r>
              <w:t xml:space="preserve">del 03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9"/>
    <w:bookmarkEnd w:id="120"/>
    <w:bookmarkEnd w:id="121"/>
    <w:bookmarkStart w:id="132" w:name="X51927564b767785b2fd2a3d2357c40deefb26fc"/>
    <w:p>
      <w:pPr>
        <w:pStyle w:val="Ttulo1"/>
      </w:pPr>
      <w:r>
        <w:t xml:space="preserve">Consideraciones de Diseño de las Arquitecturas de Referencia del FNA</w:t>
      </w:r>
    </w:p>
    <w:p>
      <w:pPr>
        <w:pStyle w:val="FirstParagraph"/>
      </w:pPr>
      <w:r>
        <w:t xml:space="preserve">En esta sección ampliaremos las consideraciones dadas al FNA para la creación y mantenimiento de arquitecturas de referencia. En este caso daremos información que advierta las incorreciones de diseño de las que debe alejarse la empresa. Estos diseños problemáticos que describiremos aquí deben ser usadas para vigilar cada cambio en las arquitecturas del FNA, así como en las evaluaciones, y comparar estos cambios contra estas advertencias para luego determinar si los diseños (y soluciones e implementaciones) requieren acciones de remediación.</w:t>
      </w:r>
    </w:p>
    <w:bookmarkStart w:id="126" w:name="diseños-centrados-en-el-proveedor"/>
    <w:p>
      <w:pPr>
        <w:pStyle w:val="Ttulo2"/>
      </w:pPr>
      <w:r>
        <w:t xml:space="preserve">Diseños Centrados en el Proveedor</w:t>
      </w:r>
    </w:p>
    <w:p>
      <w:pPr>
        <w:pStyle w:val="FirstParagraph"/>
      </w:pPr>
      <w:r>
        <w:t xml:space="preserve">El principal diseño del que debe alejarse el FNA es todo aquel el que aumente la dependencia de proveedor. Es decir,</w:t>
      </w:r>
      <w:r>
        <w:t xml:space="preserve"> </w:t>
      </w:r>
      <w:r>
        <w:rPr>
          <w:iCs/>
          <w:i/>
        </w:rPr>
        <w:t xml:space="preserve">los diseños centrados en el proveedor son los problemáticos</w:t>
      </w:r>
      <w:r>
        <w:t xml:space="preserve">. Ejemplo de esto, y así diagnosticado en Fase I de esta consultoría, es el ERP Cobis. Este reúne más de nueve módulos de software, la mayoría relacionados con la misión del Fondo Nacional. Es por tanto un diseño problemático que el ERP esté en el centro de la empresa y tender relaciones directas a este desde otros puntos de la empresa.</w:t>
      </w:r>
    </w:p>
    <w:p>
      <w:pPr>
        <w:pStyle w:val="SourceCode"/>
      </w:pPr>
      <w:r>
        <w:rPr>
          <w:rStyle w:val="VerbatimChar"/>
        </w:rPr>
        <w:t xml:space="preserve">Nota: en este contexto, nos referimos a una perspectiva tecnológica de la empresa.</w:t>
      </w:r>
    </w:p>
    <w:p>
      <w:pPr>
        <w:pStyle w:val="FirstParagraph"/>
      </w:pPr>
      <w:r>
        <w:t xml:space="preserve">En el diagrama siguiente presentamos esta consideración de forma visual en la que queremos se aprecie el problema de tender relaciones directas desde los procesos de negocio a un proveedor tecnológico, COBIS.</w:t>
      </w:r>
    </w:p>
    <w:bookmarkStart w:id="0" w:name="fig:arqrefnegativa1.png"/>
    <w:p>
      <w:pPr>
        <w:pStyle w:val="CaptionedFigure"/>
      </w:pPr>
      <w:bookmarkStart w:id="125" w:name="fig:arqrefnegativa1.png"/>
      <w:r>
        <w:drawing>
          <wp:inline>
            <wp:extent cx="5486400" cy="2743200"/>
            <wp:effectExtent b="0" l="0" r="0" t="0"/>
            <wp:docPr descr="Imagen 11: Consideraciones de Diseño FNA. Acoplamiento y Dependencia al proveedor." title="" id="123" name="Picture"/>
            <a:graphic>
              <a:graphicData uri="http://schemas.openxmlformats.org/drawingml/2006/picture">
                <pic:pic>
                  <pic:nvPicPr>
                    <pic:cNvPr descr="images/arqrefnegativa1.png" id="124" name="Picture"/>
                    <pic:cNvPicPr>
                      <a:picLocks noChangeArrowheads="1" noChangeAspect="1"/>
                    </pic:cNvPicPr>
                  </pic:nvPicPr>
                  <pic:blipFill>
                    <a:blip r:embed="rId122"/>
                    <a:stretch>
                      <a:fillRect/>
                    </a:stretch>
                  </pic:blipFill>
                  <pic:spPr bwMode="auto">
                    <a:xfrm>
                      <a:off x="0" y="0"/>
                      <a:ext cx="5486400" cy="2743200"/>
                    </a:xfrm>
                    <a:prstGeom prst="rect">
                      <a:avLst/>
                    </a:prstGeom>
                    <a:noFill/>
                    <a:ln w="9525">
                      <a:noFill/>
                      <a:headEnd/>
                      <a:tailEnd/>
                    </a:ln>
                  </pic:spPr>
                </pic:pic>
              </a:graphicData>
            </a:graphic>
          </wp:inline>
        </w:drawing>
      </w:r>
      <w:bookmarkEnd w:id="125"/>
    </w:p>
    <w:p>
      <w:pPr>
        <w:pStyle w:val="ImageCaption"/>
      </w:pPr>
      <w:r>
        <w:t xml:space="preserve">Imagen 11: Consideraciones de Diseño FNA. Acoplamiento y Dependencia al proveedor.</w:t>
      </w:r>
    </w:p>
    <w:bookmarkEnd w:id="0"/>
    <w:p>
      <w:pPr>
        <w:pStyle w:val="Textoindependiente"/>
      </w:pPr>
      <w:r>
        <w:t xml:space="preserve">En la imagen: las relaciones directas que los procesos de negocio puedan tener con un proveedor son la causa de dos problemas: el acoplamiento al proveedor, lo que a su vez contribuye al problema de diseño que hemos llamado dependencia al proveedor.</w:t>
      </w:r>
    </w:p>
    <w:p>
      <w:pPr>
        <w:pStyle w:val="Textoindependiente"/>
      </w:pPr>
      <w:r>
        <w:t xml:space="preserve">Este mismo problema se presenta de forma indirecta cuando existe un intermediario entre las partes. Siguiendo con el ejemplo ilustrado arriba, un intermediario entre los procesos de negocio y el proveedor sea un bus empresarial, un integrador, proxie, o algún intermediario cualquiera de sus formas, comporta el mismo problema que denunciamos en este diseño centrado en el proveedor. La presencia de un intermediario no elimina la complicación del acoplamiento, solo lo soslaya, y al contrario, lo acrecienta.</w:t>
      </w:r>
    </w:p>
    <w:p>
      <w:pPr>
        <w:pStyle w:val="SourceCode"/>
      </w:pPr>
      <w:r>
        <w:rPr>
          <w:rStyle w:val="VerbatimChar"/>
        </w:rPr>
        <w:t xml:space="preserve">Nota: este mismo problema se presenta de forma indirecta cuando existe un intermediario entre las partes. La presencia de un intermediario no elimina este problema, solo lo esconde, y por tanto, lo acrecienta.</w:t>
      </w:r>
    </w:p>
    <w:bookmarkEnd w:id="126"/>
    <w:bookmarkStart w:id="131" w:name="diseños-de-capas-generales"/>
    <w:p>
      <w:pPr>
        <w:pStyle w:val="Ttulo2"/>
      </w:pPr>
      <w:r>
        <w:t xml:space="preserve">Diseños de Capas Generales</w:t>
      </w:r>
    </w:p>
    <w:p>
      <w:pPr>
        <w:pStyle w:val="FirstParagraph"/>
      </w:pPr>
      <w:r>
        <w:t xml:space="preserve">El diseño de capas, si bien es uno con los que inicia una arquitectura, comporta los problemas de la generalidad: no representa en realidad a ninguna arquitectura. Si consideramos a la arquitectura como la elección de una decisión de diseños sobre otra, la separación por capas genéricas no alcanza a realizar nada de eso. Este diseño no profundiza en ningún aspecto o problema a resolver, pero en cambio da la sensación de que sí, y ese es el problema.</w:t>
      </w:r>
    </w:p>
    <w:p>
      <w:pPr>
        <w:pStyle w:val="Textoindependiente"/>
      </w:pPr>
      <w:r>
        <w:t xml:space="preserve">En este diagrama presentamos esta consideración de forma visual. Debemos observar que el diseño de capas sí organiza y prepara a una posterior arquitectura ante un problema, sea de flexibilidad, despliegue, etc., pero no está tomando decisiones más allá de eso.</w:t>
      </w:r>
    </w:p>
    <w:bookmarkStart w:id="0" w:name="fig:arqrefnegativa2.png"/>
    <w:p>
      <w:pPr>
        <w:pStyle w:val="CaptionedFigure"/>
      </w:pPr>
      <w:bookmarkStart w:id="130" w:name="fig:arqrefnegativa2.png"/>
      <w:r>
        <w:drawing>
          <wp:inline>
            <wp:extent cx="5486400" cy="2743200"/>
            <wp:effectExtent b="0" l="0" r="0" t="0"/>
            <wp:docPr descr="Imagen 12: Consideraciones de Diseño FNA. Capas genéricas, sin arquitectura. Preparan (organizan) un sistema información, servicio o componente de software para la arquitectura." title="" id="128" name="Picture"/>
            <a:graphic>
              <a:graphicData uri="http://schemas.openxmlformats.org/drawingml/2006/picture">
                <pic:pic>
                  <pic:nvPicPr>
                    <pic:cNvPr descr="images/arqrefnegativa2.png" id="129" name="Picture"/>
                    <pic:cNvPicPr>
                      <a:picLocks noChangeArrowheads="1" noChangeAspect="1"/>
                    </pic:cNvPicPr>
                  </pic:nvPicPr>
                  <pic:blipFill>
                    <a:blip r:embed="rId127"/>
                    <a:stretch>
                      <a:fillRect/>
                    </a:stretch>
                  </pic:blipFill>
                  <pic:spPr bwMode="auto">
                    <a:xfrm>
                      <a:off x="0" y="0"/>
                      <a:ext cx="5486400" cy="2743200"/>
                    </a:xfrm>
                    <a:prstGeom prst="rect">
                      <a:avLst/>
                    </a:prstGeom>
                    <a:noFill/>
                    <a:ln w="9525">
                      <a:noFill/>
                      <a:headEnd/>
                      <a:tailEnd/>
                    </a:ln>
                  </pic:spPr>
                </pic:pic>
              </a:graphicData>
            </a:graphic>
          </wp:inline>
        </w:drawing>
      </w:r>
      <w:bookmarkEnd w:id="130"/>
    </w:p>
    <w:p>
      <w:pPr>
        <w:pStyle w:val="ImageCaption"/>
      </w:pPr>
      <w:r>
        <w:t xml:space="preserve">Imagen 12: Consideraciones de Diseño FNA. Capas genéricas, sin arquitectura. Preparan (organizan) un sistema información, servicio o componente de software para la arquitectura.</w:t>
      </w:r>
    </w:p>
    <w:bookmarkEnd w:id="0"/>
    <w:p>
      <w:pPr>
        <w:pStyle w:val="Textoindependiente"/>
      </w:pPr>
      <w:r>
        <w:t xml:space="preserve">El FNA debe alejarse de los diseños generales que funcionan solamente como una organización base que carece de arquitectura (decisiones). Estos diseños no aportan ni resuelven un problema específico y son apenas una forma de organización de las partes de un sistema de información, pero no una arquitectura como la conocemos en este contexto.</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Vistas lógicas y conceptuales de las arquitecturas de referencia del FNA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1.7dca3a6</w:t>
            </w:r>
            <w:r>
              <w:t xml:space="preserve"> </w:t>
            </w:r>
            <w:r>
              <w:t xml:space="preserve">del 03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31"/>
    <w:bookmarkEnd w:id="132"/>
    <w:bookmarkStart w:id="134" w:name="Xc76c05f0d4a72b8715954b097b0e408889e457e"/>
    <w:p>
      <w:pPr>
        <w:pStyle w:val="Ttulo1"/>
      </w:pPr>
      <w:r>
        <w:t xml:space="preserve">Vistas Lógicas y Conceptuales de las Arquitecturas de Referencia del FNA</w:t>
      </w:r>
    </w:p>
    <w:p>
      <w:pPr>
        <w:pStyle w:val="FirstParagraph"/>
      </w:pPr>
      <w:r>
        <w:t xml:space="preserve">En cumplimiento con el alcance (y las restricciones de tiempo del proyecto actual), en esta sección desarrollaremos el conjunto de vistas fundamentales al que llamamos arquitecturas de referencia del FNA.</w:t>
      </w:r>
    </w:p>
    <w:bookmarkStart w:id="133" w:name="X597d6fea2fc61612fa058e8d452892296015baf"/>
    <w:p>
      <w:pPr>
        <w:pStyle w:val="Ttulo2"/>
      </w:pPr>
      <w:r>
        <w:t xml:space="preserve">Arquitectura de Servicios SOA, Versión 2.0: microservicios y malla de servicios</w:t>
      </w:r>
    </w:p>
    <w:p>
      <w:pPr>
        <w:pStyle w:val="FirstParagraph"/>
      </w:pPr>
      <w:r>
        <w:t xml:space="preserve">Tomando como entrada el contexto del FNA, presentamos una organización de componentes que enfrenta las problemáticas identificadas en diagnósticos anteriores (Fase I). Esto es, la siguiente arquitectura de servicios optimiza las siguientes características en beneficio de la empresa:</w:t>
      </w:r>
    </w:p>
    <w:p>
      <w:pPr>
        <w:numPr>
          <w:ilvl w:val="0"/>
          <w:numId w:val="1013"/>
        </w:numPr>
        <w:pStyle w:val="Compact"/>
      </w:pPr>
      <w:r>
        <w:t xml:space="preserve">Mejorar la estabilidad, el reintento la tolerancia a fallos y la disponibilidad de servicios SOA y los microservicios del Fondo Nacional mediante el uso de proxy</w:t>
      </w:r>
    </w:p>
    <w:p>
      <w:pPr>
        <w:numPr>
          <w:ilvl w:val="0"/>
          <w:numId w:val="1013"/>
        </w:numPr>
        <w:pStyle w:val="Compact"/>
      </w:pPr>
      <w:r>
        <w:t xml:space="preserve">Modernizar los mecanismos de orquestación de servicios con arreglo en el estilo de arquitectura de solución orientada a servicios y a eventos</w:t>
      </w:r>
    </w:p>
    <w:p>
      <w:pPr>
        <w:numPr>
          <w:ilvl w:val="0"/>
          <w:numId w:val="1013"/>
        </w:numPr>
        <w:pStyle w:val="Compact"/>
      </w:pPr>
      <w:r>
        <w:t xml:space="preserve">Independiza las acciones de escalabilidad, seguridad y monitoreo de servicios, de acuerdo con el estilo de arquitectura de solución orientada a servicios</w:t>
      </w:r>
    </w:p>
    <w:p>
      <w:pPr>
        <w:numPr>
          <w:ilvl w:val="0"/>
          <w:numId w:val="1013"/>
        </w:numPr>
        <w:pStyle w:val="Compact"/>
      </w:pPr>
      <w:r>
        <w:t xml:space="preserve">Persigue el esquema de operación de servicios orientados a la nube</w:t>
      </w:r>
    </w:p>
    <w:p>
      <w:pPr>
        <w:numPr>
          <w:ilvl w:val="0"/>
          <w:numId w:val="1013"/>
        </w:numPr>
        <w:pStyle w:val="Compact"/>
      </w:pPr>
      <w:r>
        <w:t xml:space="preserve">Tiene afinidad con el patrón de malla de servicios (service-mesh), Control Plan – Data Plane en la imagen</w:t>
      </w:r>
    </w:p>
    <w:p>
      <w:pPr>
        <w:numPr>
          <w:ilvl w:val="0"/>
          <w:numId w:val="1014"/>
        </w:numPr>
        <w:pStyle w:val="Compact"/>
      </w:pPr>
      <w:r>
        <w:t xml:space="preserve">Mejorar proceso de diseño y construcción de soluciones orientadas a servicios</w:t>
      </w:r>
    </w:p>
    <w:p>
      <w:pPr>
        <w:numPr>
          <w:ilvl w:val="0"/>
          <w:numId w:val="1014"/>
        </w:numPr>
        <w:pStyle w:val="Compact"/>
      </w:pPr>
      <w:r>
        <w:t xml:space="preserve">Optimizar el proceso de construcción de soluciones orientadas a servicios</w:t>
      </w:r>
    </w:p>
    <w:p>
      <w:pPr>
        <w:numPr>
          <w:ilvl w:val="0"/>
          <w:numId w:val="1014"/>
        </w:numPr>
        <w:pStyle w:val="Compact"/>
      </w:pPr>
      <w:r>
        <w:t xml:space="preserve">Unificar el proceso de construcción y ofrecer un lenguaje común con el negocio y entidades del sector</w:t>
      </w:r>
    </w:p>
    <w:p>
      <w:pPr>
        <w:numPr>
          <w:ilvl w:val="0"/>
          <w:numId w:val="1014"/>
        </w:numPr>
        <w:pStyle w:val="Compact"/>
      </w:pPr>
      <w:r>
        <w:t xml:space="preserve">Mejorar la oferta de servicios analíticos en el segmento del Fondo Nacional del Ahorro</w:t>
      </w:r>
    </w:p>
    <w:p>
      <w:pPr>
        <w:numPr>
          <w:ilvl w:val="0"/>
          <w:numId w:val="1014"/>
        </w:numPr>
        <w:pStyle w:val="Compact"/>
      </w:pPr>
      <w:r>
        <w:t xml:space="preserve">Incrementar el nivel de utilización de la Tecnología SOA del Fondo Nacional del Ahorro</w:t>
      </w:r>
    </w:p>
    <w:p>
      <w:pPr>
        <w:numPr>
          <w:ilvl w:val="0"/>
          <w:numId w:val="1014"/>
        </w:numPr>
        <w:pStyle w:val="Compact"/>
      </w:pPr>
      <w:r>
        <w:t xml:space="preserve">Soportar la ejecución (rediseño) de los procesos de negocio Fondo Nacional del Ahorro, guiados por la arquitectura 2.0</w:t>
      </w:r>
    </w:p>
    <w:p>
      <w:pPr>
        <w:numPr>
          <w:ilvl w:val="0"/>
          <w:numId w:val="1014"/>
        </w:numPr>
        <w:pStyle w:val="Compact"/>
      </w:pPr>
      <w:r>
        <w:t xml:space="preserve">Mejorar el tiempo de puesta en producción</w:t>
      </w:r>
    </w:p>
    <w:p>
      <w:pPr>
        <w:numPr>
          <w:ilvl w:val="0"/>
          <w:numId w:val="1014"/>
        </w:numPr>
        <w:pStyle w:val="Compact"/>
      </w:pPr>
      <w:r>
        <w:t xml:space="preserve">Modernizar las soluciones orientadas a servicios, mediante la gestión de tecnologías de arquitectura 2.0</w:t>
      </w:r>
    </w:p>
    <w:p>
      <w:pPr>
        <w:numPr>
          <w:ilvl w:val="0"/>
          <w:numId w:val="1014"/>
        </w:numPr>
        <w:pStyle w:val="Compact"/>
      </w:pPr>
      <w:r>
        <w:t xml:space="preserve">Gobierno y gestión de la tecnología orientada a servicios por la arquitectura 2.0</w:t>
      </w:r>
    </w:p>
    <w:p>
      <w:pPr>
        <w:numPr>
          <w:ilvl w:val="0"/>
          <w:numId w:val="1014"/>
        </w:numPr>
        <w:pStyle w:val="Compact"/>
      </w:pPr>
      <w:r>
        <w:t xml:space="preserve">Activar las herramientas de monitoreo de los servicios e indicadores de eficacia y desempeño de los procesos en el marco del Gobierno SOA</w:t>
      </w:r>
    </w:p>
    <w:p>
      <w:pPr>
        <w:numPr>
          <w:ilvl w:val="0"/>
          <w:numId w:val="1014"/>
        </w:numPr>
        <w:pStyle w:val="Compact"/>
      </w:pPr>
      <w:r>
        <w:t xml:space="preserve">Articulación y fortalecimiento del equipo de arquitectura del FNA junto a proveedores Institucionalizar oficina de arquitectura</w:t>
      </w:r>
    </w:p>
    <w:p>
      <w:pPr>
        <w:numPr>
          <w:ilvl w:val="0"/>
          <w:numId w:val="1014"/>
        </w:numPr>
        <w:pStyle w:val="Compact"/>
      </w:pPr>
      <w:r>
        <w:t xml:space="preserve">Estructurar equipo de arquitectos SOA, aplicaciones, TI y datos</w:t>
      </w:r>
    </w:p>
    <w:p>
      <w:pPr>
        <w:numPr>
          <w:ilvl w:val="0"/>
          <w:numId w:val="1014"/>
        </w:numPr>
        <w:pStyle w:val="Compact"/>
      </w:pPr>
      <w:r>
        <w:t xml:space="preserve">Monitoreo de los indicadores de eficacia del portafolio servicios del Fondo Nacional del Ahorro</w:t>
      </w:r>
    </w:p>
    <w:p>
      <w:pPr>
        <w:numPr>
          <w:ilvl w:val="0"/>
          <w:numId w:val="1014"/>
        </w:numPr>
        <w:pStyle w:val="Compact"/>
      </w:pPr>
      <w:r>
        <w:t xml:space="preserve">Mejorar indicadores de eficacia y madurez SOA. Indicadores de cobertura, alineación y flexibilidad de negocio</w:t>
      </w:r>
    </w:p>
    <w:p>
      <w:r>
        <w:br w:type="page"/>
      </w:r>
    </w:p>
    <w:bookmarkEnd w:id="133"/>
    <w:bookmarkEnd w:id="134"/>
    <w:bookmarkStart w:id="146" w:name="referencias"/>
    <w:p>
      <w:pPr>
        <w:pStyle w:val="Ttulo1"/>
      </w:pPr>
      <w:r>
        <w:t xml:space="preserve">Referencias</w:t>
      </w:r>
    </w:p>
    <w:bookmarkStart w:id="145"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36"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35">
        <w:r>
          <w:rPr>
            <w:rStyle w:val="Hipervnculo"/>
          </w:rPr>
          <w:t xml:space="preserve">https://hwong23.github.io/fna-devdoc-f1/v/6497aef0f15c3591f0728e4c42cb2c26c13b43aa/</w:t>
        </w:r>
      </w:hyperlink>
    </w:p>
    <w:bookmarkEnd w:id="136"/>
    <w:bookmarkStart w:id="137"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35">
        <w:r>
          <w:rPr>
            <w:rStyle w:val="Hipervnculo"/>
          </w:rPr>
          <w:t xml:space="preserve">https://hwong23.github.io/fna-devdoc-f1/v/6497aef0f15c3591f0728e4c42cb2c26c13b43aa/</w:t>
        </w:r>
      </w:hyperlink>
    </w:p>
    <w:bookmarkEnd w:id="137"/>
    <w:bookmarkStart w:id="138"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35">
        <w:r>
          <w:rPr>
            <w:rStyle w:val="Hipervnculo"/>
          </w:rPr>
          <w:t xml:space="preserve">https://hwong23.github.io/fna-devdoc-f1/v/6497aef0f15c3591f0728e4c42cb2c26c13b43aa/</w:t>
        </w:r>
      </w:hyperlink>
    </w:p>
    <w:bookmarkEnd w:id="138"/>
    <w:bookmarkStart w:id="140"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39">
        <w:r>
          <w:rPr>
            <w:rStyle w:val="Hipervnculo"/>
          </w:rPr>
          <w:t xml:space="preserve">https://pubs.opengroup.org/architecture/togaf9-doc/arch/chap27.html</w:t>
        </w:r>
      </w:hyperlink>
    </w:p>
    <w:bookmarkEnd w:id="140"/>
    <w:bookmarkStart w:id="141"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39">
        <w:r>
          <w:rPr>
            <w:rStyle w:val="Hipervnculo"/>
          </w:rPr>
          <w:t xml:space="preserve">https://pubs.opengroup.org/architecture/togaf9-doc/arch/chap27.html</w:t>
        </w:r>
      </w:hyperlink>
    </w:p>
    <w:bookmarkEnd w:id="141"/>
    <w:bookmarkStart w:id="143"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42">
        <w:r>
          <w:rPr>
            <w:rStyle w:val="Hipervnculo"/>
          </w:rPr>
          <w:t xml:space="preserve">https://hwong23.github.io/fna-dd-f2-e1/</w:t>
        </w:r>
      </w:hyperlink>
    </w:p>
    <w:bookmarkEnd w:id="143"/>
    <w:bookmarkStart w:id="144"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42">
        <w:r>
          <w:rPr>
            <w:rStyle w:val="Hipervnculo"/>
          </w:rPr>
          <w:t xml:space="preserve">https://hwong23.github.io/fna-dd-f2-e1/</w:t>
        </w:r>
      </w:hyperlink>
    </w:p>
    <w:bookmarkEnd w:id="144"/>
    <w:bookmarkEnd w:id="145"/>
    <w:bookmarkEnd w:id="14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15" Target="media/rId115.png" /><Relationship Type="http://schemas.openxmlformats.org/officeDocument/2006/relationships/image" Id="rId78" Target="media/rId78.png" /><Relationship Type="http://schemas.openxmlformats.org/officeDocument/2006/relationships/image" Id="rId73" Target="media/rId73.png" /><Relationship Type="http://schemas.openxmlformats.org/officeDocument/2006/relationships/image" Id="rId83" Target="media/rId83.png" /><Relationship Type="http://schemas.openxmlformats.org/officeDocument/2006/relationships/image" Id="rId122" Target="media/rId122.png" /><Relationship Type="http://schemas.openxmlformats.org/officeDocument/2006/relationships/image" Id="rId127" Target="media/rId127.png" /><Relationship Type="http://schemas.openxmlformats.org/officeDocument/2006/relationships/image" Id="rId99" Target="media/rId99.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35" Target="media/rId35.png" /><Relationship Type="http://schemas.openxmlformats.org/officeDocument/2006/relationships/hyperlink" Id="rId45"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42" Target="https://hwong23.github.io/fna-dd-f2-e1/" TargetMode="External" /><Relationship Type="http://schemas.openxmlformats.org/officeDocument/2006/relationships/hyperlink" Id="rId20" Target="https://hwong23.github.io/fna-dd-f2-pry2-e1/v/7dca3a62b1dea15dee2f81ebde03cfc7a3b0811b/" TargetMode="External" /><Relationship Type="http://schemas.openxmlformats.org/officeDocument/2006/relationships/hyperlink" Id="rId135" Target="https://hwong23.github.io/fna-devdoc-f1/v/6497aef0f15c3591f0728e4c42cb2c26c13b43aa/" TargetMode="External" /><Relationship Type="http://schemas.openxmlformats.org/officeDocument/2006/relationships/hyperlink" Id="rId139"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5"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42" Target="https://hwong23.github.io/fna-dd-f2-e1/" TargetMode="External" /><Relationship Type="http://schemas.openxmlformats.org/officeDocument/2006/relationships/hyperlink" Id="rId20" Target="https://hwong23.github.io/fna-dd-f2-pry2-e1/v/7dca3a62b1dea15dee2f81ebde03cfc7a3b0811b/" TargetMode="External" /><Relationship Type="http://schemas.openxmlformats.org/officeDocument/2006/relationships/hyperlink" Id="rId135" Target="https://hwong23.github.io/fna-devdoc-f1/v/6497aef0f15c3591f0728e4c42cb2c26c13b43aa/" TargetMode="External" /><Relationship Type="http://schemas.openxmlformats.org/officeDocument/2006/relationships/hyperlink" Id="rId139"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2023-08-03T16:38:08Z</dcterms:created>
  <dcterms:modified xsi:type="dcterms:W3CDTF">2023-08-03T16:38:08Z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Diseño detallado y vistas funcional, despliegue, información, integración y tecnología​</vt:lpwstr>
  </property>
  <property fmtid="{D5CDD505-2E9C-101B-9397-08002B2CF9AE}" pid="18" name="references">
    <vt:lpwstr/>
  </property>
  <property fmtid="{D5CDD505-2E9C-101B-9397-08002B2CF9AE}" pid="19" name="tablenos-caption-name">
    <vt:lpwstr>Tabla</vt:lpwstr>
  </property>
</Properties>
</file>