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2.png" ContentType="image/png"/>
  <Override PartName="/word/media/rId97.png" ContentType="image/png"/>
  <Override PartName="/word/media/rId102.png" ContentType="image/png"/>
  <Override PartName="/word/media/rId107.png" ContentType="image/png"/>
  <Override PartName="/word/media/rId112.png" ContentType="image/png"/>
  <Override PartName="/word/media/rId89.png" ContentType="image/png"/>
  <Override PartName="/word/media/rId78.png" ContentType="image/png"/>
  <Override PartName="/word/media/rId73.png" ContentType="image/png"/>
  <Override PartName="/word/media/rId83.png" ContentType="image/png"/>
  <Override PartName="/word/media/rId149.png" ContentType="image/png"/>
  <Override PartName="/word/media/rId154.png" ContentType="image/png"/>
  <Override PartName="/word/media/rId126.png" ContentType="image/png"/>
  <Override PartName="/word/media/rId131.png" ContentType="image/png"/>
  <Override PartName="/word/media/rId135.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STEF@985be46</w:t>
        </w:r>
      </w:hyperlink>
      <w:r>
        <w:t xml:space="preserve"> </w:t>
      </w:r>
      <w:r>
        <w:t xml:space="preserve">del August 4, 2023.</w:t>
      </w:r>
      <w:r>
        <w:t xml:space="preserve"> </w:t>
      </w:r>
    </w:p>
    <w:p>
      <w:pPr>
        <w:pStyle w:val="Textoindependiente"/>
      </w:pPr>
      <w:r>
        <w:t xml:space="preserve">   </w:t>
      </w:r>
      <w:r>
        <w:rPr>
          <w:bCs/>
          <w:b/>
        </w:rPr>
        <w:t xml:space="preserve">Versión</w:t>
      </w:r>
      <w:r>
        <w:t xml:space="preserve"> </w:t>
      </w:r>
      <w:r>
        <w:t xml:space="preserve">del producto 1.985be46 de 04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1.985be46 del 04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1.985be46</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d66f897f-b25e-4879-a801-97db87d71732"/>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1.985be46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34cd7921-0d55-4018-8eb0-2dc50c067576"/>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7a24b065-287d-4627-be32-067542808d94"/>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1.985be46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1.985be46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Aug 2023</w:t>
      </w:r>
    </w:p>
    <w:p>
      <w:pPr>
        <w:pStyle w:val="Textodebloque"/>
      </w:pPr>
      <w:r>
        <w:rPr>
          <w:bCs/>
          <w:b/>
        </w:rPr>
        <w:t xml:space="preserve">Versión</w:t>
      </w:r>
      <w:r>
        <w:t xml:space="preserve"> </w:t>
      </w:r>
      <w:r>
        <w:t xml:space="preserve">1.985be46</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5f04787b-21d2-4912-9e53-8239d7343505"/>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1.985be46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4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6"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Start w:id="94"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2" w:name="fig:ARQREF0.png"/>
      <w:r>
        <w:drawing>
          <wp:inline>
            <wp:extent cx="5600700" cy="4090361"/>
            <wp:effectExtent b="0" l="0" r="0" t="0"/>
            <wp:docPr descr="Imagen 8: Fondo Nacional del Ahorro - Arquitectura de Referencia 2.0. Vista funcional del dominio de servicios y aplicaciones del FNA." title="" id="90" name="Picture"/>
            <a:graphic>
              <a:graphicData uri="http://schemas.openxmlformats.org/drawingml/2006/picture">
                <pic:pic>
                  <pic:nvPicPr>
                    <pic:cNvPr descr="images/ARQREF0.png" id="91" name="Picture"/>
                    <pic:cNvPicPr>
                      <a:picLocks noChangeArrowheads="1" noChangeAspect="1"/>
                    </pic:cNvPicPr>
                  </pic:nvPicPr>
                  <pic:blipFill>
                    <a:blip r:embed="rId89"/>
                    <a:stretch>
                      <a:fillRect/>
                    </a:stretch>
                  </pic:blipFill>
                  <pic:spPr bwMode="auto">
                    <a:xfrm>
                      <a:off x="0" y="0"/>
                      <a:ext cx="5600700" cy="4090361"/>
                    </a:xfrm>
                    <a:prstGeom prst="rect">
                      <a:avLst/>
                    </a:prstGeom>
                    <a:noFill/>
                    <a:ln w="9525">
                      <a:noFill/>
                      <a:headEnd/>
                      <a:tailEnd/>
                    </a:ln>
                  </pic:spPr>
                </pic:pic>
              </a:graphicData>
            </a:graphic>
          </wp:inline>
        </w:drawing>
      </w:r>
      <w:bookmarkEnd w:id="92"/>
    </w:p>
    <w:p>
      <w:pPr>
        <w:pStyle w:val="ImageCaption"/>
      </w:pPr>
      <w:r>
        <w:t xml:space="preserve">Imagen 8: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3"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3"/>
    <w:bookmarkEnd w:id="94"/>
    <w:bookmarkStart w:id="95"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5"/>
    <w:bookmarkEnd w:id="96"/>
    <w:bookmarkStart w:id="101"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98" name="Picture"/>
            <a:graphic>
              <a:graphicData uri="http://schemas.openxmlformats.org/drawingml/2006/picture">
                <pic:pic>
                  <pic:nvPicPr>
                    <pic:cNvPr descr="images/ARQREF.1.Malla%20Micross.png" id="99" name="Picture"/>
                    <pic:cNvPicPr>
                      <a:picLocks noChangeArrowheads="1" noChangeAspect="1"/>
                    </pic:cNvPicPr>
                  </pic:nvPicPr>
                  <pic:blipFill>
                    <a:blip r:embed="rId97"/>
                    <a:stretch>
                      <a:fillRect/>
                    </a:stretch>
                  </pic:blipFill>
                  <pic:spPr bwMode="auto">
                    <a:xfrm>
                      <a:off x="0" y="0"/>
                      <a:ext cx="5600700" cy="4457391"/>
                    </a:xfrm>
                    <a:prstGeom prst="rect">
                      <a:avLst/>
                    </a:prstGeom>
                    <a:noFill/>
                    <a:ln w="9525">
                      <a:noFill/>
                      <a:headEnd/>
                      <a:tailEnd/>
                    </a:ln>
                  </pic:spPr>
                </pic:pic>
              </a:graphicData>
            </a:graphic>
          </wp:inline>
        </w:drawing>
      </w:r>
    </w:p>
    <w:bookmarkStart w:id="100"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0"/>
    <w:bookmarkEnd w:id="101"/>
    <w:bookmarkStart w:id="106"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3" name="Picture"/>
            <a:graphic>
              <a:graphicData uri="http://schemas.openxmlformats.org/drawingml/2006/picture">
                <pic:pic>
                  <pic:nvPicPr>
                    <pic:cNvPr descr="images/ARQREF.2.Datos.png" id="104" name="Picture"/>
                    <pic:cNvPicPr>
                      <a:picLocks noChangeArrowheads="1" noChangeAspect="1"/>
                    </pic:cNvPicPr>
                  </pic:nvPicPr>
                  <pic:blipFill>
                    <a:blip r:embed="rId102"/>
                    <a:stretch>
                      <a:fillRect/>
                    </a:stretch>
                  </pic:blipFill>
                  <pic:spPr bwMode="auto">
                    <a:xfrm>
                      <a:off x="0" y="0"/>
                      <a:ext cx="5600700" cy="2910285"/>
                    </a:xfrm>
                    <a:prstGeom prst="rect">
                      <a:avLst/>
                    </a:prstGeom>
                    <a:noFill/>
                    <a:ln w="9525">
                      <a:noFill/>
                      <a:headEnd/>
                      <a:tailEnd/>
                    </a:ln>
                  </pic:spPr>
                </pic:pic>
              </a:graphicData>
            </a:graphic>
          </wp:inline>
        </w:drawing>
      </w:r>
    </w:p>
    <w:bookmarkStart w:id="105"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5"/>
    <w:bookmarkEnd w:id="106"/>
    <w:bookmarkStart w:id="111"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08" name="Picture"/>
            <a:graphic>
              <a:graphicData uri="http://schemas.openxmlformats.org/drawingml/2006/picture">
                <pic:pic>
                  <pic:nvPicPr>
                    <pic:cNvPr descr="images/ARQREF.3.Entrega.png" id="109" name="Picture"/>
                    <pic:cNvPicPr>
                      <a:picLocks noChangeArrowheads="1" noChangeAspect="1"/>
                    </pic:cNvPicPr>
                  </pic:nvPicPr>
                  <pic:blipFill>
                    <a:blip r:embed="rId107"/>
                    <a:stretch>
                      <a:fillRect/>
                    </a:stretch>
                  </pic:blipFill>
                  <pic:spPr bwMode="auto">
                    <a:xfrm>
                      <a:off x="0" y="0"/>
                      <a:ext cx="5600700" cy="4680802"/>
                    </a:xfrm>
                    <a:prstGeom prst="rect">
                      <a:avLst/>
                    </a:prstGeom>
                    <a:noFill/>
                    <a:ln w="9525">
                      <a:noFill/>
                      <a:headEnd/>
                      <a:tailEnd/>
                    </a:ln>
                  </pic:spPr>
                </pic:pic>
              </a:graphicData>
            </a:graphic>
          </wp:inline>
        </w:drawing>
      </w:r>
    </w:p>
    <w:bookmarkStart w:id="110"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0"/>
    <w:bookmarkEnd w:id="111"/>
    <w:bookmarkStart w:id="125"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3" name="Picture"/>
            <a:graphic>
              <a:graphicData uri="http://schemas.openxmlformats.org/drawingml/2006/picture">
                <pic:pic>
                  <pic:nvPicPr>
                    <pic:cNvPr descr="images/ARQREF.4.FNA.png" id="114" name="Picture"/>
                    <pic:cNvPicPr>
                      <a:picLocks noChangeArrowheads="1" noChangeAspect="1"/>
                    </pic:cNvPicPr>
                  </pic:nvPicPr>
                  <pic:blipFill>
                    <a:blip r:embed="rId112"/>
                    <a:stretch>
                      <a:fillRect/>
                    </a:stretch>
                  </pic:blipFill>
                  <pic:spPr bwMode="auto">
                    <a:xfrm>
                      <a:off x="0" y="0"/>
                      <a:ext cx="5600700" cy="4620064"/>
                    </a:xfrm>
                    <a:prstGeom prst="rect">
                      <a:avLst/>
                    </a:prstGeom>
                    <a:noFill/>
                    <a:ln w="9525">
                      <a:noFill/>
                      <a:headEnd/>
                      <a:tailEnd/>
                    </a:ln>
                  </pic:spPr>
                </pic:pic>
              </a:graphicData>
            </a:graphic>
          </wp:inline>
        </w:drawing>
      </w:r>
    </w:p>
    <w:bookmarkStart w:id="115"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5"/>
    <w:bookmarkStart w:id="124" w:name="Xf2848fda90cbf5119b1ac784f15161cd77b81c9"/>
    <w:p>
      <w:pPr>
        <w:pStyle w:val="Ttulo3"/>
      </w:pPr>
      <w:r>
        <w:t xml:space="preserve">Características de la Arquitectura de Servicios 2.0 del FNA</w:t>
      </w:r>
    </w:p>
    <w:bookmarkStart w:id="116"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16"/>
    <w:bookmarkStart w:id="117"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17"/>
    <w:bookmarkStart w:id="118"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18"/>
    <w:bookmarkStart w:id="119"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19"/>
    <w:bookmarkStart w:id="120"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0"/>
    <w:bookmarkStart w:id="121"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1"/>
    <w:bookmarkStart w:id="122"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2"/>
    <w:bookmarkStart w:id="123"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3"/>
    <w:bookmarkEnd w:id="124"/>
    <w:bookmarkEnd w:id="125"/>
    <w:bookmarkStart w:id="141"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0" w:name="pilares-de-la-malla-de-datos-data-mesh"/>
    <w:p>
      <w:pPr>
        <w:pStyle w:val="Ttulo3"/>
      </w:pPr>
      <w:r>
        <w:t xml:space="preserve">Pilares de la Malla de Datos (data mesh)</w:t>
      </w:r>
    </w:p>
    <w:bookmarkStart w:id="0" w:name="fig:59688546-3641-435d-a89a-c8d03b000b7e"/>
    <w:p>
      <w:pPr>
        <w:pStyle w:val="CaptionedFigure"/>
      </w:pPr>
      <w:bookmarkStart w:id="129" w:name="fig:"/>
      <w:r>
        <w:drawing>
          <wp:inline>
            <wp:extent cx="5486400" cy="2743200"/>
            <wp:effectExtent b="0" l="0" r="0" t="0"/>
            <wp:docPr descr="Imagen 9: Malla de datos para el FNA" title="" id="127" name="Picture"/>
            <a:graphic>
              <a:graphicData uri="http://schemas.openxmlformats.org/drawingml/2006/picture">
                <pic:pic>
                  <pic:nvPicPr>
                    <pic:cNvPr descr="images/datimage1.png" id="128" name="Picture"/>
                    <pic:cNvPicPr>
                      <a:picLocks noChangeArrowheads="1" noChangeAspect="1"/>
                    </pic:cNvPicPr>
                  </pic:nvPicPr>
                  <pic:blipFill>
                    <a:blip r:embed="rId126"/>
                    <a:stretch>
                      <a:fillRect/>
                    </a:stretch>
                  </pic:blipFill>
                  <pic:spPr bwMode="auto">
                    <a:xfrm>
                      <a:off x="0" y="0"/>
                      <a:ext cx="5486400" cy="2743200"/>
                    </a:xfrm>
                    <a:prstGeom prst="rect">
                      <a:avLst/>
                    </a:prstGeom>
                    <a:noFill/>
                    <a:ln w="9525">
                      <a:noFill/>
                      <a:headEnd/>
                      <a:tailEnd/>
                    </a:ln>
                  </pic:spPr>
                </pic:pic>
              </a:graphicData>
            </a:graphic>
          </wp:inline>
        </w:drawing>
      </w:r>
      <w:bookmarkEnd w:id="129"/>
    </w:p>
    <w:p>
      <w:pPr>
        <w:pStyle w:val="ImageCaption"/>
      </w:pPr>
      <w:r>
        <w:t xml:space="preserve">Imagen 9: Malla de datos para el FNA</w:t>
      </w:r>
    </w:p>
    <w:bookmarkEnd w:id="0"/>
    <w:bookmarkEnd w:id="130"/>
    <w:bookmarkStart w:id="139"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e3cc82a9-a237-4e43-9636-3d520008348d"/>
    <w:p>
      <w:pPr>
        <w:pStyle w:val="CaptionedFigure"/>
      </w:pPr>
      <w:bookmarkStart w:id="134" w:name="fig:"/>
      <w:r>
        <w:drawing>
          <wp:inline>
            <wp:extent cx="5486400" cy="3200400"/>
            <wp:effectExtent b="0" l="0" r="0" t="0"/>
            <wp:docPr descr="Imagen 10: Plano de Datos Objetivo del FNA" title="" id="132" name="Picture"/>
            <a:graphic>
              <a:graphicData uri="http://schemas.openxmlformats.org/drawingml/2006/picture">
                <pic:pic>
                  <pic:nvPicPr>
                    <pic:cNvPr descr="images/datimage2.png" id="133" name="Picture"/>
                    <pic:cNvPicPr>
                      <a:picLocks noChangeArrowheads="1" noChangeAspect="1"/>
                    </pic:cNvPicPr>
                  </pic:nvPicPr>
                  <pic:blipFill>
                    <a:blip r:embed="rId131"/>
                    <a:stretch>
                      <a:fillRect/>
                    </a:stretch>
                  </pic:blipFill>
                  <pic:spPr bwMode="auto">
                    <a:xfrm>
                      <a:off x="0" y="0"/>
                      <a:ext cx="5486400" cy="3200400"/>
                    </a:xfrm>
                    <a:prstGeom prst="rect">
                      <a:avLst/>
                    </a:prstGeom>
                    <a:noFill/>
                    <a:ln w="9525">
                      <a:noFill/>
                      <a:headEnd/>
                      <a:tailEnd/>
                    </a:ln>
                  </pic:spPr>
                </pic:pic>
              </a:graphicData>
            </a:graphic>
          </wp:inline>
        </w:drawing>
      </w:r>
      <w:bookmarkEnd w:id="134"/>
    </w:p>
    <w:p>
      <w:pPr>
        <w:pStyle w:val="ImageCaption"/>
      </w:pPr>
      <w:r>
        <w:t xml:space="preserve">Imagen 10: Plano de Datos Objetivo del FNA</w:t>
      </w:r>
    </w:p>
    <w:bookmarkEnd w:id="0"/>
    <w:p>
      <w:pPr>
        <w:pStyle w:val="Textoindependiente"/>
      </w:pPr>
      <w:r>
        <w:t xml:space="preserve">La Ilustración a continuación muestra los marcos de referencia aplicables al dominio de Información:</w:t>
      </w:r>
    </w:p>
    <w:bookmarkStart w:id="0" w:name="fig:01ca9d36-1d0f-43a3-88d1-0769bd2972cf"/>
    <w:p>
      <w:pPr>
        <w:pStyle w:val="CaptionedFigure"/>
      </w:pPr>
      <w:bookmarkStart w:id="138" w:name="fig:"/>
      <w:r>
        <w:drawing>
          <wp:inline>
            <wp:extent cx="5486400" cy="2194560"/>
            <wp:effectExtent b="0" l="0" r="0" t="0"/>
            <wp:docPr descr="Imagen 11: Marcos de referencia aplicables a la arquitectura de información" title="" id="136" name="Picture"/>
            <a:graphic>
              <a:graphicData uri="http://schemas.openxmlformats.org/drawingml/2006/picture">
                <pic:pic>
                  <pic:nvPicPr>
                    <pic:cNvPr descr="images/datimage3.png" id="137" name="Picture"/>
                    <pic:cNvPicPr>
                      <a:picLocks noChangeArrowheads="1" noChangeAspect="1"/>
                    </pic:cNvPicPr>
                  </pic:nvPicPr>
                  <pic:blipFill>
                    <a:blip r:embed="rId135"/>
                    <a:stretch>
                      <a:fillRect/>
                    </a:stretch>
                  </pic:blipFill>
                  <pic:spPr bwMode="auto">
                    <a:xfrm>
                      <a:off x="0" y="0"/>
                      <a:ext cx="5486400" cy="2194560"/>
                    </a:xfrm>
                    <a:prstGeom prst="rect">
                      <a:avLst/>
                    </a:prstGeom>
                    <a:noFill/>
                    <a:ln w="9525">
                      <a:noFill/>
                      <a:headEnd/>
                      <a:tailEnd/>
                    </a:ln>
                  </pic:spPr>
                </pic:pic>
              </a:graphicData>
            </a:graphic>
          </wp:inline>
        </w:drawing>
      </w:r>
      <w:bookmarkEnd w:id="138"/>
    </w:p>
    <w:p>
      <w:pPr>
        <w:pStyle w:val="ImageCaption"/>
      </w:pPr>
      <w:r>
        <w:t xml:space="preserve">Imagen 11: Marcos de referencia aplicables a la arquitectura de información</w:t>
      </w:r>
    </w:p>
    <w:bookmarkEnd w:id="0"/>
    <w:bookmarkEnd w:id="139"/>
    <w:bookmarkStart w:id="140"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0"/>
    <w:bookmarkEnd w:id="141"/>
    <w:bookmarkStart w:id="14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5"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3" name="Picture"/>
            <a:graphic>
              <a:graphicData uri="http://schemas.openxmlformats.org/drawingml/2006/picture">
                <pic:pic>
                  <pic:nvPicPr>
                    <pic:cNvPr descr="./images/infrimage1.png" id="144" name="Picture"/>
                    <pic:cNvPicPr>
                      <a:picLocks noChangeArrowheads="1" noChangeAspect="1"/>
                    </pic:cNvPicPr>
                  </pic:nvPicPr>
                  <pic:blipFill>
                    <a:blip r:embed="rId142"/>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5"/>
    <w:bookmarkStart w:id="146"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1.985be46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End w:id="148"/>
    <w:bookmarkStart w:id="159"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3"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2" w:name="fig:arqrefnegativa1.png"/>
      <w:r>
        <w:drawing>
          <wp:inline>
            <wp:extent cx="5486400" cy="2743200"/>
            <wp:effectExtent b="0" l="0" r="0" t="0"/>
            <wp:docPr descr="Imagen 12: Consideraciones de Diseño FNA. Acoplamiento y Dependencia al proveedor." title="" id="150" name="Picture"/>
            <a:graphic>
              <a:graphicData uri="http://schemas.openxmlformats.org/drawingml/2006/picture">
                <pic:pic>
                  <pic:nvPicPr>
                    <pic:cNvPr descr="images/arqrefnegativa1.png" id="151" name="Picture"/>
                    <pic:cNvPicPr>
                      <a:picLocks noChangeArrowheads="1" noChangeAspect="1"/>
                    </pic:cNvPicPr>
                  </pic:nvPicPr>
                  <pic:blipFill>
                    <a:blip r:embed="rId149"/>
                    <a:stretch>
                      <a:fillRect/>
                    </a:stretch>
                  </pic:blipFill>
                  <pic:spPr bwMode="auto">
                    <a:xfrm>
                      <a:off x="0" y="0"/>
                      <a:ext cx="5486400" cy="2743200"/>
                    </a:xfrm>
                    <a:prstGeom prst="rect">
                      <a:avLst/>
                    </a:prstGeom>
                    <a:noFill/>
                    <a:ln w="9525">
                      <a:noFill/>
                      <a:headEnd/>
                      <a:tailEnd/>
                    </a:ln>
                  </pic:spPr>
                </pic:pic>
              </a:graphicData>
            </a:graphic>
          </wp:inline>
        </w:drawing>
      </w:r>
      <w:bookmarkEnd w:id="152"/>
    </w:p>
    <w:p>
      <w:pPr>
        <w:pStyle w:val="ImageCaption"/>
      </w:pPr>
      <w:r>
        <w:t xml:space="preserve">Imagen 12: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3"/>
    <w:bookmarkStart w:id="158"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57" w:name="fig:arqrefnegativa2.png"/>
      <w:r>
        <w:drawing>
          <wp:inline>
            <wp:extent cx="5486400" cy="2743200"/>
            <wp:effectExtent b="0" l="0" r="0" t="0"/>
            <wp:docPr descr="Imagen 13: Consideraciones de Diseño FNA. Capas genéricas, sin arquitectura. Preparan (organizan) un sistema información, servicio o componente de software para la arquitectura." title="" id="155" name="Picture"/>
            <a:graphic>
              <a:graphicData uri="http://schemas.openxmlformats.org/drawingml/2006/picture">
                <pic:pic>
                  <pic:nvPicPr>
                    <pic:cNvPr descr="images/arqrefnegativa2.png" id="156" name="Picture"/>
                    <pic:cNvPicPr>
                      <a:picLocks noChangeArrowheads="1" noChangeAspect="1"/>
                    </pic:cNvPicPr>
                  </pic:nvPicPr>
                  <pic:blipFill>
                    <a:blip r:embed="rId154"/>
                    <a:stretch>
                      <a:fillRect/>
                    </a:stretch>
                  </pic:blipFill>
                  <pic:spPr bwMode="auto">
                    <a:xfrm>
                      <a:off x="0" y="0"/>
                      <a:ext cx="5486400" cy="2743200"/>
                    </a:xfrm>
                    <a:prstGeom prst="rect">
                      <a:avLst/>
                    </a:prstGeom>
                    <a:noFill/>
                    <a:ln w="9525">
                      <a:noFill/>
                      <a:headEnd/>
                      <a:tailEnd/>
                    </a:ln>
                  </pic:spPr>
                </pic:pic>
              </a:graphicData>
            </a:graphic>
          </wp:inline>
        </w:drawing>
      </w:r>
      <w:bookmarkEnd w:id="157"/>
    </w:p>
    <w:p>
      <w:pPr>
        <w:pStyle w:val="ImageCaption"/>
      </w:pPr>
      <w:r>
        <w:t xml:space="preserve">Imagen 13: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1.985be46</w:t>
            </w:r>
            <w:r>
              <w:t xml:space="preserve"> </w:t>
            </w:r>
            <w:r>
              <w:t xml:space="preserve">del 04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8"/>
    <w:bookmarkEnd w:id="159"/>
    <w:bookmarkStart w:id="161"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0"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5"/>
        </w:numPr>
        <w:pStyle w:val="Compact"/>
      </w:pPr>
      <w:r>
        <w:t xml:space="preserve">Mejorar proceso de diseño y construcción de soluciones orientadas a servicios</w:t>
      </w:r>
    </w:p>
    <w:p>
      <w:pPr>
        <w:numPr>
          <w:ilvl w:val="0"/>
          <w:numId w:val="1015"/>
        </w:numPr>
        <w:pStyle w:val="Compact"/>
      </w:pPr>
      <w:r>
        <w:t xml:space="preserve">Optimizar el proceso de construcción de soluciones orientadas a servicios</w:t>
      </w:r>
    </w:p>
    <w:p>
      <w:pPr>
        <w:numPr>
          <w:ilvl w:val="0"/>
          <w:numId w:val="1015"/>
        </w:numPr>
        <w:pStyle w:val="Compact"/>
      </w:pPr>
      <w:r>
        <w:t xml:space="preserve">Unificar el proceso de construcción y ofrecer un lenguaje común con el negocio y entidades del sector</w:t>
      </w:r>
    </w:p>
    <w:p>
      <w:pPr>
        <w:numPr>
          <w:ilvl w:val="0"/>
          <w:numId w:val="1015"/>
        </w:numPr>
        <w:pStyle w:val="Compact"/>
      </w:pPr>
      <w:r>
        <w:t xml:space="preserve">Mejorar la oferta de servicios analíticos en el segmento del Fondo Nacional del Ahorro</w:t>
      </w:r>
    </w:p>
    <w:p>
      <w:pPr>
        <w:numPr>
          <w:ilvl w:val="0"/>
          <w:numId w:val="1015"/>
        </w:numPr>
        <w:pStyle w:val="Compact"/>
      </w:pPr>
      <w:r>
        <w:t xml:space="preserve">Incrementar el nivel de utilización de la Tecnología SOA del Fondo Nacional del Ahorro</w:t>
      </w:r>
    </w:p>
    <w:p>
      <w:pPr>
        <w:numPr>
          <w:ilvl w:val="0"/>
          <w:numId w:val="1015"/>
        </w:numPr>
        <w:pStyle w:val="Compact"/>
      </w:pPr>
      <w:r>
        <w:t xml:space="preserve">Soportar la ejecución (rediseño) de los procesos de negocio Fondo Nacional del Ahorro, guiados por la arquitectura 2.0</w:t>
      </w:r>
    </w:p>
    <w:p>
      <w:pPr>
        <w:numPr>
          <w:ilvl w:val="0"/>
          <w:numId w:val="1015"/>
        </w:numPr>
        <w:pStyle w:val="Compact"/>
      </w:pPr>
      <w:r>
        <w:t xml:space="preserve">Mejorar el tiempo de puesta en producción</w:t>
      </w:r>
    </w:p>
    <w:p>
      <w:pPr>
        <w:numPr>
          <w:ilvl w:val="0"/>
          <w:numId w:val="1015"/>
        </w:numPr>
        <w:pStyle w:val="Compact"/>
      </w:pPr>
      <w:r>
        <w:t xml:space="preserve">Modernizar las soluciones orientadas a servicios, mediante la gestión de tecnologías de arquitectura 2.0</w:t>
      </w:r>
    </w:p>
    <w:p>
      <w:pPr>
        <w:numPr>
          <w:ilvl w:val="0"/>
          <w:numId w:val="1015"/>
        </w:numPr>
        <w:pStyle w:val="Compact"/>
      </w:pPr>
      <w:r>
        <w:t xml:space="preserve">Gobierno y gestión de la tecnología orientada a servicios por la arquitectura 2.0</w:t>
      </w:r>
    </w:p>
    <w:p>
      <w:pPr>
        <w:numPr>
          <w:ilvl w:val="0"/>
          <w:numId w:val="1015"/>
        </w:numPr>
        <w:pStyle w:val="Compact"/>
      </w:pPr>
      <w:r>
        <w:t xml:space="preserve">Activar las herramientas de monitoreo de los servicios e indicadores de eficacia y desempeño de los procesos en el marco del Gobierno SOA</w:t>
      </w:r>
    </w:p>
    <w:p>
      <w:pPr>
        <w:numPr>
          <w:ilvl w:val="0"/>
          <w:numId w:val="1015"/>
        </w:numPr>
        <w:pStyle w:val="Compact"/>
      </w:pPr>
      <w:r>
        <w:t xml:space="preserve">Articulación y fortalecimiento del equipo de arquitectura del FNA junto a proveedores Institucionalizar oficina de arquitectura</w:t>
      </w:r>
    </w:p>
    <w:p>
      <w:pPr>
        <w:numPr>
          <w:ilvl w:val="0"/>
          <w:numId w:val="1015"/>
        </w:numPr>
        <w:pStyle w:val="Compact"/>
      </w:pPr>
      <w:r>
        <w:t xml:space="preserve">Estructurar equipo de arquitectos SOA, aplicaciones, TI y datos</w:t>
      </w:r>
    </w:p>
    <w:p>
      <w:pPr>
        <w:numPr>
          <w:ilvl w:val="0"/>
          <w:numId w:val="1015"/>
        </w:numPr>
        <w:pStyle w:val="Compact"/>
      </w:pPr>
      <w:r>
        <w:t xml:space="preserve">Monitoreo de los indicadores de eficacia del portafolio servicios del Fondo Nacional del Ahorro</w:t>
      </w:r>
    </w:p>
    <w:p>
      <w:pPr>
        <w:numPr>
          <w:ilvl w:val="0"/>
          <w:numId w:val="1015"/>
        </w:numPr>
        <w:pStyle w:val="Compact"/>
      </w:pPr>
      <w:r>
        <w:t xml:space="preserve">Mejorar indicadores de eficacia y madurez SOA. Indicadores de cobertura, alineación y flexibilidad de negocio</w:t>
      </w:r>
    </w:p>
    <w:p>
      <w:r>
        <w:br w:type="page"/>
      </w:r>
    </w:p>
    <w:bookmarkEnd w:id="160"/>
    <w:bookmarkEnd w:id="161"/>
    <w:bookmarkStart w:id="173" w:name="referencias"/>
    <w:p>
      <w:pPr>
        <w:pStyle w:val="Ttulo1"/>
      </w:pPr>
      <w:r>
        <w:t xml:space="preserve">Referencias</w:t>
      </w:r>
    </w:p>
    <w:bookmarkStart w:id="17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3"/>
    <w:bookmarkStart w:id="16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4"/>
    <w:bookmarkStart w:id="16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2">
        <w:r>
          <w:rPr>
            <w:rStyle w:val="Hipervnculo"/>
          </w:rPr>
          <w:t xml:space="preserve">https://hwong23.github.io/fna-devdoc-f1/v/6497aef0f15c3591f0728e4c42cb2c26c13b43aa/</w:t>
        </w:r>
      </w:hyperlink>
    </w:p>
    <w:bookmarkEnd w:id="165"/>
    <w:bookmarkStart w:id="16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66">
        <w:r>
          <w:rPr>
            <w:rStyle w:val="Hipervnculo"/>
          </w:rPr>
          <w:t xml:space="preserve">https://pubs.opengroup.org/architecture/togaf9-doc/arch/chap27.html</w:t>
        </w:r>
      </w:hyperlink>
    </w:p>
    <w:bookmarkEnd w:id="167"/>
    <w:bookmarkStart w:id="16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66">
        <w:r>
          <w:rPr>
            <w:rStyle w:val="Hipervnculo"/>
          </w:rPr>
          <w:t xml:space="preserve">https://pubs.opengroup.org/architecture/togaf9-doc/arch/chap27.html</w:t>
        </w:r>
      </w:hyperlink>
    </w:p>
    <w:bookmarkEnd w:id="168"/>
    <w:bookmarkStart w:id="17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69">
        <w:r>
          <w:rPr>
            <w:rStyle w:val="Hipervnculo"/>
          </w:rPr>
          <w:t xml:space="preserve">https://hwong23.github.io/fna-dd-f2-e1/</w:t>
        </w:r>
      </w:hyperlink>
    </w:p>
    <w:bookmarkEnd w:id="170"/>
    <w:bookmarkStart w:id="17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69">
        <w:r>
          <w:rPr>
            <w:rStyle w:val="Hipervnculo"/>
          </w:rPr>
          <w:t xml:space="preserve">https://hwong23.github.io/fna-dd-f2-e1/</w:t>
        </w:r>
      </w:hyperlink>
    </w:p>
    <w:bookmarkEnd w:id="171"/>
    <w:bookmarkEnd w:id="172"/>
    <w:bookmarkEnd w:id="17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2" Target="media/rId142.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69" Target="https://hwong23.github.io/fna-dd-f2-e1/" TargetMode="External" /><Relationship Type="http://schemas.openxmlformats.org/officeDocument/2006/relationships/hyperlink" Id="rId20" Target="https://hwong23.github.io/fna-dd-f2-pry2-e1/v/985be46f1b60c0e8740ed9e67945e354072529fc/"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16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69" Target="https://hwong23.github.io/fna-dd-f2-e1/" TargetMode="External" /><Relationship Type="http://schemas.openxmlformats.org/officeDocument/2006/relationships/hyperlink" Id="rId20" Target="https://hwong23.github.io/fna-dd-f2-pry2-e1/v/985be46f1b60c0e8740ed9e67945e354072529fc/"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16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2023-08-04T02:37:37Z</dcterms:created>
  <dcterms:modified xsi:type="dcterms:W3CDTF">2023-08-04T02:37:37Z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