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STEF@b675901</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1.b675901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1.b675901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1.b675901</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aplicacionas y herramientas de software del FNA, y para la adquisición y migración de tecnologías específicas.</w:t>
      </w:r>
    </w:p>
    <w:p>
      <w:pPr>
        <w:pStyle w:val="Textoindependiente"/>
      </w:pPr>
      <w:r>
        <w:t xml:space="preserve">Este producto define los elementos mínimales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responsabilidadas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d5ba00bd-4b14-4a20-ba49-d1414d7cb65e"/>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1.b675901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422ebd3-f91b-45be-8e68-c89c2ecfe4be"/>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2ad7d84f-679c-4e81-9580-51a97ceb67af"/>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1.b675901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desmezuradamente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contínua de arquitecturas</w:t>
      </w:r>
    </w:p>
    <w:p>
      <w:pPr>
        <w:numPr>
          <w:ilvl w:val="0"/>
          <w:numId w:val="1006"/>
        </w:numPr>
        <w:pStyle w:val="Compact"/>
      </w:pPr>
      <w:r>
        <w:t xml:space="preserve">Diseños enfocado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1.b675901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1.b675901</w:t>
      </w:r>
    </w:p>
    <w:p>
      <w:pPr>
        <w:pStyle w:val="FirstParagraph"/>
      </w:pPr>
    </w:p>
    <w:bookmarkEnd w:id="62"/>
    <w:bookmarkStart w:id="63" w:name="producto-12-pr12."/>
    <w:p>
      <w:pPr>
        <w:pStyle w:val="Ttulo1"/>
      </w:pPr>
      <w:r>
        <w:t xml:space="preserve">Producto 12: PR12.</w:t>
      </w:r>
    </w:p>
    <w:p>
      <w:pPr>
        <w:pStyle w:val="FirstParagraph"/>
      </w:pPr>
      <w:r>
        <w:t xml:space="preserve">La arquitectura SOA de referencia SOA 2.0 del FNA, objeto de este proyecto, la forman las estructuras e integraciones de productos y servicios SOA. Este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la línea base de la arquitectura de referencia 2.0 del FNA, necesaria para dirigir el desarrollo de los servicios SOA del FNA hacia diseños y tecnologías determinadas en este plano de referencia (como microservicios, REST, API, infraestructura Nube, etc.) y favoreciendo la adopción del estilo de arquitectura orientado a eventos para atender las funcionalidades y necesidades de negocio, que para este proyecto son principales la vicepresidencia de operaciones y la vicepresidencia de crédito del FNA.</w:t>
      </w:r>
    </w:p>
    <w:p>
      <w:pPr>
        <w:pStyle w:val="Textoindependiente"/>
      </w:pPr>
    </w:p>
    <w:bookmarkEnd w:id="63"/>
    <w:bookmarkStart w:id="64" w:name="justificación-1"/>
    <w:p>
      <w:pPr>
        <w:pStyle w:val="Ttulo1"/>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4"/>
    <w:bookmarkStart w:id="65" w:name="contenidos-2"/>
    <w:p>
      <w:pPr>
        <w:pStyle w:val="Ttulo1"/>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5"/>
    <w:bookmarkStart w:id="70" w:name="criterios-de-aceptación-1"/>
    <w:p>
      <w:pPr>
        <w:pStyle w:val="Ttulo1"/>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Start w:id="69" w:name="modelo-de-implementación-del-pry01-1"/>
    <w:p>
      <w:pPr>
        <w:pStyle w:val="Ttulo2"/>
      </w:pPr>
      <w:r>
        <w:t xml:space="preserve">Modelo de Implementación del PRY01</w:t>
      </w:r>
    </w:p>
    <w:bookmarkStart w:id="0" w:name="fig:35d12d1f-c476-4160-98ed-d70732ed7cc0"/>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bookmarkEnd w:id="69"/>
    <w:bookmarkEnd w:id="70"/>
    <w:bookmarkStart w:id="75" w:name="referencias"/>
    <w:p>
      <w:pPr>
        <w:pStyle w:val="Ttulo1"/>
      </w:pPr>
      <w:r>
        <w:t xml:space="preserve">Referencias</w:t>
      </w:r>
    </w:p>
    <w:bookmarkStart w:id="71" w:name="refs"/>
    <w:p>
      <w:pPr>
        <w:pStyle w:val="Bibliography"/>
      </w:pPr>
      <w:r>
        <w:t xml:space="preserve">E-Service. Situación SOA Actual del FNA. Etapa I. (2022).</w:t>
      </w:r>
    </w:p>
    <w:bookmarkEnd w:id="71"/>
    <w:bookmarkStart w:id="72" w:name="refs"/>
    <w:p>
      <w:pPr>
        <w:pStyle w:val="Bibliography"/>
      </w:pPr>
      <w:r>
        <w:t xml:space="preserve">E-Service. Arquitectura de Referencia del FNA. Etapa II. (2023).</w:t>
      </w:r>
    </w:p>
    <w:bookmarkEnd w:id="72"/>
    <w:bookmarkStart w:id="73" w:name="refs"/>
    <w:p>
      <w:pPr>
        <w:pStyle w:val="Bibliography"/>
      </w:pPr>
      <w:r>
        <w:t xml:space="preserve">E-Service. Hoja de Ruta e Iniciativas. Etapa III. (2023).</w:t>
      </w:r>
    </w:p>
    <w:bookmarkEnd w:id="73"/>
    <w:bookmarkStart w:id="74" w:name="refs"/>
    <w:p>
      <w:pPr>
        <w:pStyle w:val="Bibliography"/>
      </w:pPr>
      <w:r>
        <w:t xml:space="preserve">TOGAF 9.1. Risk Management (2023). En https://pubs.opengroup.org/architecture/togaf9-doc/arch/chap27.html</w:t>
      </w:r>
    </w:p>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b675901f872da7906c54c9f784aad4dd34a52b2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b675901f872da7906c54c9f784aad4dd34a52b2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2023-07-24T21:16:44Z</dcterms:created>
  <dcterms:modified xsi:type="dcterms:W3CDTF">2023-07-24T21:16:44Z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