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76.png" ContentType="image/png"/>
  <Override PartName="/word/media/rId71.png" ContentType="image/png"/>
  <Override PartName="/word/media/rId81.png" ContentType="image/png"/>
  <Override PartName="/word/media/rId91.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STEF@d8a662d</w:t>
        </w:r>
      </w:hyperlink>
      <w:r>
        <w:t xml:space="preserve"> </w:t>
      </w:r>
      <w:r>
        <w:t xml:space="preserve">del July 26, 2023.</w:t>
      </w:r>
      <w:r>
        <w:t xml:space="preserve"> </w:t>
      </w:r>
    </w:p>
    <w:p>
      <w:pPr>
        <w:pStyle w:val="Textoindependiente"/>
      </w:pPr>
      <w:r>
        <w:t xml:space="preserve">   </w:t>
      </w:r>
      <w:r>
        <w:rPr>
          <w:bCs/>
          <w:b/>
        </w:rPr>
        <w:t xml:space="preserve">Versión</w:t>
      </w:r>
      <w:r>
        <w:t xml:space="preserve"> </w:t>
      </w:r>
      <w:r>
        <w:t xml:space="preserve">del producto 1.d8a662d de 26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1.d8a662d del 26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1.d8a662d</w:t>
      </w:r>
    </w:p>
    <w:p>
      <w:pPr>
        <w:pStyle w:val="FirstParagraph"/>
      </w:pPr>
    </w:p>
    <w:bookmarkEnd w:id="31"/>
    <w:bookmarkStart w:id="42" w:name="producto-11"/>
    <w:p>
      <w:pPr>
        <w:pStyle w:val="Ttulo1"/>
      </w:pPr>
      <w:r>
        <w:t xml:space="preserve">Producto 11:</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b4c11d3f-20bc-406a-b7c2-9976e6c544a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1.d8a662d</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60"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e7c90319-d096-4f05-b896-f0831dc579d7"/>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bbb0969d-e393-4d29-a2e2-f78c6285eacd"/>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5"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5"/>
        </w:numPr>
        <w:pStyle w:val="Compact"/>
      </w:pPr>
      <w:r>
        <w:t xml:space="preserve">Gestión del trabajo de arquitectura</w:t>
      </w:r>
    </w:p>
    <w:p>
      <w:pPr>
        <w:numPr>
          <w:ilvl w:val="0"/>
          <w:numId w:val="1005"/>
        </w:numPr>
        <w:pStyle w:val="Compact"/>
      </w:pPr>
      <w:r>
        <w:t xml:space="preserve">Medición del progreso del trabajo</w:t>
      </w:r>
    </w:p>
    <w:p>
      <w:pPr>
        <w:numPr>
          <w:ilvl w:val="0"/>
          <w:numId w:val="1005"/>
        </w:numPr>
        <w:pStyle w:val="Compact"/>
      </w:pPr>
      <w:r>
        <w:t xml:space="preserve">Exploración de riesgos técnicos de las arquitecturas de referencia</w:t>
      </w:r>
    </w:p>
    <w:p>
      <w:pPr>
        <w:numPr>
          <w:ilvl w:val="0"/>
          <w:numId w:val="1005"/>
        </w:numPr>
        <w:pStyle w:val="Compact"/>
      </w:pPr>
      <w:r>
        <w:t xml:space="preserve">Descomposición del trabajo</w:t>
      </w:r>
    </w:p>
    <w:p>
      <w:pPr>
        <w:numPr>
          <w:ilvl w:val="0"/>
          <w:numId w:val="1005"/>
        </w:numPr>
        <w:pStyle w:val="Compact"/>
      </w:pPr>
      <w:r>
        <w:t xml:space="preserve">Organización de elementos y modelamiento</w:t>
      </w:r>
    </w:p>
    <w:p>
      <w:pPr>
        <w:numPr>
          <w:ilvl w:val="0"/>
          <w:numId w:val="1005"/>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3" w:name="gestión-del-trabajo-de-arquitectura"/>
    <w:p>
      <w:pPr>
        <w:pStyle w:val="Ttulo3"/>
      </w:pPr>
      <w:r>
        <w:t xml:space="preserve">Gestión del Trabajo de Arquitectura</w:t>
      </w:r>
    </w:p>
    <w:p>
      <w:pPr>
        <w:pStyle w:val="FirstParagraph"/>
      </w:pP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End w:id="53"/>
    <w:bookmarkStart w:id="54" w:name="medición-del-progreso-del-trabajo"/>
    <w:p>
      <w:pPr>
        <w:pStyle w:val="Ttulo3"/>
      </w:pPr>
      <w:r>
        <w:t xml:space="preserve">Medición Del Progreso Del Trabajo</w:t>
      </w:r>
    </w:p>
    <w:bookmarkEnd w:id="54"/>
    <w:bookmarkEnd w:id="55"/>
    <w:bookmarkStart w:id="56" w:name="Xc2a3e73e97a00e94e42a958bd4052cf1d2e95d2"/>
    <w:p>
      <w:pPr>
        <w:pStyle w:val="Ttulo2"/>
      </w:pPr>
      <w:r>
        <w:t xml:space="preserve">Exploración De Riesgos Técnicos De Las Arquitecturas De Referencia</w:t>
      </w:r>
    </w:p>
    <w:bookmarkEnd w:id="56"/>
    <w:bookmarkStart w:id="57" w:name="descomposición-del-trabajo"/>
    <w:p>
      <w:pPr>
        <w:pStyle w:val="Ttulo2"/>
      </w:pPr>
      <w:r>
        <w:t xml:space="preserve">Descomposición Del Trabajo</w:t>
      </w:r>
    </w:p>
    <w:bookmarkEnd w:id="57"/>
    <w:bookmarkStart w:id="58" w:name="organización-de-elementos-y-modelamiento"/>
    <w:p>
      <w:pPr>
        <w:pStyle w:val="Ttulo2"/>
      </w:pPr>
      <w:r>
        <w:t xml:space="preserve">Organización De Elementos Y Modelamiento</w:t>
      </w:r>
    </w:p>
    <w:bookmarkEnd w:id="58"/>
    <w:bookmarkStart w:id="59"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1.d8a662d</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End w:id="60"/>
    <w:bookmarkStart w:id="61"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6"/>
        </w:numPr>
        <w:pStyle w:val="Compact"/>
      </w:pPr>
      <w:r>
        <w:t xml:space="preserve">Arquitectura incremental</w:t>
      </w:r>
    </w:p>
    <w:p>
      <w:pPr>
        <w:numPr>
          <w:ilvl w:val="0"/>
          <w:numId w:val="1006"/>
        </w:numPr>
        <w:pStyle w:val="Compact"/>
      </w:pPr>
      <w:r>
        <w:t xml:space="preserve">Verificación continua de arquitecturas</w:t>
      </w:r>
    </w:p>
    <w:p>
      <w:pPr>
        <w:numPr>
          <w:ilvl w:val="0"/>
          <w:numId w:val="1006"/>
        </w:numPr>
        <w:pStyle w:val="Compact"/>
      </w:pPr>
      <w:r>
        <w:t xml:space="preserve">Generación continua de arquitecturas</w:t>
      </w:r>
    </w:p>
    <w:p>
      <w:pPr>
        <w:numPr>
          <w:ilvl w:val="0"/>
          <w:numId w:val="1006"/>
        </w:numPr>
        <w:pStyle w:val="Compact"/>
      </w:pPr>
      <w:r>
        <w:t xml:space="preserve">Diseños enfocados (baja granularidad) –evite diseños de largo plazo</w:t>
      </w:r>
    </w:p>
    <w:p>
      <w:pPr>
        <w:numPr>
          <w:ilvl w:val="0"/>
          <w:numId w:val="1006"/>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1.d8a662d</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1"/>
    <w:bookmarkStart w:id="62"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26 Jul 2023</w:t>
      </w:r>
    </w:p>
    <w:p>
      <w:pPr>
        <w:pStyle w:val="Textodebloque"/>
      </w:pPr>
      <w:r>
        <w:rPr>
          <w:bCs/>
          <w:b/>
        </w:rPr>
        <w:t xml:space="preserve">Versión</w:t>
      </w:r>
      <w:r>
        <w:t xml:space="preserve"> </w:t>
      </w:r>
      <w:r>
        <w:t xml:space="preserve">1.d8a662d</w:t>
      </w:r>
    </w:p>
    <w:p>
      <w:pPr>
        <w:pStyle w:val="FirstParagraph"/>
      </w:pPr>
    </w:p>
    <w:bookmarkEnd w:id="62"/>
    <w:bookmarkStart w:id="70" w:name="producto-12-pr12."/>
    <w:p>
      <w:pPr>
        <w:pStyle w:val="Ttulo1"/>
      </w:pPr>
      <w:r>
        <w:t xml:space="preserve">Producto 12: PR12.</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3"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3"/>
    <w:bookmarkStart w:id="64" w:name="contenidos-2"/>
    <w:p>
      <w:pPr>
        <w:pStyle w:val="Ttulo2"/>
      </w:pPr>
      <w:r>
        <w:t xml:space="preserve">Contenidos</w:t>
      </w:r>
    </w:p>
    <w:p>
      <w:pPr>
        <w:numPr>
          <w:ilvl w:val="0"/>
          <w:numId w:val="1007"/>
        </w:numPr>
        <w:pStyle w:val="Compact"/>
      </w:pPr>
      <w:r>
        <w:t xml:space="preserve">Diseño y representación de la Arquitectura de Referencia 2.0 del FNA</w:t>
      </w:r>
    </w:p>
    <w:p>
      <w:pPr>
        <w:numPr>
          <w:ilvl w:val="0"/>
          <w:numId w:val="1007"/>
        </w:numPr>
        <w:pStyle w:val="Compact"/>
      </w:pPr>
      <w:r>
        <w:t xml:space="preserve">Consideraciones para implementar la arquitectura de referencia</w:t>
      </w:r>
    </w:p>
    <w:p>
      <w:pPr>
        <w:numPr>
          <w:ilvl w:val="0"/>
          <w:numId w:val="1007"/>
        </w:numPr>
        <w:pStyle w:val="Compact"/>
      </w:pPr>
      <w:r>
        <w:t xml:space="preserve">Vistas lógicas y conceptuales de los sistemas de información</w:t>
      </w:r>
    </w:p>
    <w:p>
      <w:pPr>
        <w:numPr>
          <w:ilvl w:val="0"/>
          <w:numId w:val="1007"/>
        </w:numPr>
        <w:pStyle w:val="Compact"/>
      </w:pPr>
      <w:r>
        <w:t xml:space="preserve">Documentación técnica 0.1 de la Arquitectura de Referencia 2.0 del FNA</w:t>
      </w:r>
    </w:p>
    <w:p>
      <w:pPr>
        <w:pStyle w:val="FirstParagraph"/>
      </w:pPr>
    </w:p>
    <w:bookmarkEnd w:id="64"/>
    <w:bookmarkStart w:id="65" w:name="criterios-de-aceptación-1"/>
    <w:p>
      <w:pPr>
        <w:pStyle w:val="Ttulo2"/>
      </w:pPr>
      <w:r>
        <w:t xml:space="preserve">Criterios de Aceptación</w:t>
      </w:r>
    </w:p>
    <w:p>
      <w:pPr>
        <w:numPr>
          <w:ilvl w:val="0"/>
          <w:numId w:val="1008"/>
        </w:numPr>
        <w:pStyle w:val="Compact"/>
      </w:pPr>
      <w:r>
        <w:t xml:space="preserve">Vistas lógicas y conceptuales de los sistemas de información</w:t>
      </w:r>
    </w:p>
    <w:p>
      <w:pPr>
        <w:numPr>
          <w:ilvl w:val="0"/>
          <w:numId w:val="1008"/>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5"/>
    <w:bookmarkStart w:id="69" w:name="modelo-de-implementación-del-pry01-1"/>
    <w:p>
      <w:pPr>
        <w:pStyle w:val="Ttulo2"/>
      </w:pPr>
      <w:r>
        <w:t xml:space="preserve">Modelo de Implementación del PRY01</w:t>
      </w:r>
    </w:p>
    <w:bookmarkStart w:id="0" w:name="fig:493355fb-82e6-47ef-a262-57c2bf6d7881"/>
    <w:p>
      <w:pPr>
        <w:pStyle w:val="CaptionedFigure"/>
      </w:pPr>
      <w:bookmarkStart w:id="68" w:name="fig:"/>
      <w:r>
        <w:drawing>
          <wp:inline>
            <wp:extent cx="5600700" cy="4264411"/>
            <wp:effectExtent b="0" l="0" r="0" t="0"/>
            <wp:docPr descr="Imagen 4: Plan de Implementación del Proyecto Hoja de Ruta E-Service FNA, 2023. Abril 2023 a Agosto 2023" title="" id="66" name="Picture"/>
            <a:graphic>
              <a:graphicData uri="http://schemas.openxmlformats.org/drawingml/2006/picture">
                <pic:pic>
                  <pic:nvPicPr>
                    <pic:cNvPr descr="images/pry2.png" id="6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8"/>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1.d8a662d</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69"/>
    <w:bookmarkEnd w:id="70"/>
    <w:bookmarkStart w:id="10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9"/>
        </w:numPr>
        <w:pStyle w:val="Compact"/>
      </w:pPr>
      <w:r>
        <w:t xml:space="preserve">Dependencia de proveedor (OBJ1)</w:t>
      </w:r>
    </w:p>
    <w:p>
      <w:pPr>
        <w:numPr>
          <w:ilvl w:val="0"/>
          <w:numId w:val="1009"/>
        </w:numPr>
        <w:pStyle w:val="Compact"/>
      </w:pPr>
      <w:r>
        <w:t xml:space="preserve">Fortaleza SOA de las aplicaciones (OBJ2)</w:t>
      </w:r>
    </w:p>
    <w:p>
      <w:pPr>
        <w:numPr>
          <w:ilvl w:val="0"/>
          <w:numId w:val="1009"/>
        </w:numPr>
        <w:pStyle w:val="Compact"/>
      </w:pPr>
      <w:r>
        <w:t xml:space="preserve">Tiempo de mercado (OBJ3)</w:t>
      </w:r>
    </w:p>
    <w:p>
      <w:pPr>
        <w:pStyle w:val="FirstParagraph"/>
      </w:pPr>
      <w:r>
        <w:rPr>
          <w:iCs/>
          <w:i/>
        </w:rPr>
        <w:t xml:space="preserve">Fuente: E-Service, Fase I (2022).</w:t>
      </w:r>
    </w:p>
    <w:bookmarkStart w:id="87" w:name="dominio-de-servicios-y-aplicaciones-fna"/>
    <w:p>
      <w:pPr>
        <w:pStyle w:val="Ttulo2"/>
      </w:pPr>
      <w:r>
        <w:t xml:space="preserve">Dominio de Servicios y Aplicaciones FNA</w:t>
      </w:r>
    </w:p>
    <w:bookmarkStart w:id="75"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22bb50b-dac0-49ea-85a3-4684bfc106c0"/>
    <w:p>
      <w:pPr>
        <w:pStyle w:val="CaptionedFigure"/>
      </w:pPr>
      <w:bookmarkStart w:id="74" w:name="fig:"/>
      <w:r>
        <w:drawing>
          <wp:inline>
            <wp:extent cx="5600700" cy="3267074"/>
            <wp:effectExtent b="0" l="0" r="0" t="0"/>
            <wp:docPr descr="Imagen 5: Fondo Nacional del Ahorro - Vista general de arquitectura actual" title="" id="72" name="Picture"/>
            <a:graphic>
              <a:graphicData uri="http://schemas.openxmlformats.org/drawingml/2006/picture">
                <pic:pic>
                  <pic:nvPicPr>
                    <pic:cNvPr descr="images/arqimage1.png" id="73" name="Picture"/>
                    <pic:cNvPicPr>
                      <a:picLocks noChangeArrowheads="1" noChangeAspect="1"/>
                    </pic:cNvPicPr>
                  </pic:nvPicPr>
                  <pic:blipFill>
                    <a:blip r:embed="rId71"/>
                    <a:stretch>
                      <a:fillRect/>
                    </a:stretch>
                  </pic:blipFill>
                  <pic:spPr bwMode="auto">
                    <a:xfrm>
                      <a:off x="0" y="0"/>
                      <a:ext cx="5600700" cy="3267074"/>
                    </a:xfrm>
                    <a:prstGeom prst="rect">
                      <a:avLst/>
                    </a:prstGeom>
                    <a:noFill/>
                    <a:ln w="9525">
                      <a:noFill/>
                      <a:headEnd/>
                      <a:tailEnd/>
                    </a:ln>
                  </pic:spPr>
                </pic:pic>
              </a:graphicData>
            </a:graphic>
          </wp:inline>
        </w:drawing>
      </w:r>
      <w:bookmarkEnd w:id="74"/>
    </w:p>
    <w:p>
      <w:pPr>
        <w:pStyle w:val="ImageCaption"/>
      </w:pPr>
      <w:r>
        <w:t xml:space="preserve">Imagen 5: Fondo Nacional del Ahorro - Vista general de arquitectura actual</w:t>
      </w:r>
    </w:p>
    <w:bookmarkEnd w:id="0"/>
    <w:p>
      <w:pPr>
        <w:pStyle w:val="Textoindependiente"/>
      </w:pPr>
    </w:p>
    <w:bookmarkEnd w:id="75"/>
    <w:bookmarkStart w:id="86"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0" w:name="nivel-de-detalle-1"/>
    <w:p>
      <w:pPr>
        <w:pStyle w:val="Ttulo4"/>
      </w:pPr>
      <w:r>
        <w:t xml:space="preserve">Nivel de detalle 1</w:t>
      </w:r>
    </w:p>
    <w:bookmarkStart w:id="0" w:name="fig:73fb99e7-ea6e-45e9-9637-0f58bd8ab9c0"/>
    <w:p>
      <w:pPr>
        <w:pStyle w:val="CaptionedFigure"/>
      </w:pPr>
      <w:bookmarkStart w:id="79" w:name="fig:"/>
      <w:r>
        <w:drawing>
          <wp:inline>
            <wp:extent cx="5600700" cy="3015761"/>
            <wp:effectExtent b="0" l="0" r="0" t="0"/>
            <wp:docPr descr="Imagen 6: Fondo Nacional del Ahorro - Vista general de arquitectura de referencia. N1" title="" id="77" name="Picture"/>
            <a:graphic>
              <a:graphicData uri="http://schemas.openxmlformats.org/drawingml/2006/picture">
                <pic:pic>
                  <pic:nvPicPr>
                    <pic:cNvPr descr="images/arqimage1.1.png" id="78" name="Picture"/>
                    <pic:cNvPicPr>
                      <a:picLocks noChangeArrowheads="1" noChangeAspect="1"/>
                    </pic:cNvPicPr>
                  </pic:nvPicPr>
                  <pic:blipFill>
                    <a:blip r:embed="rId76"/>
                    <a:stretch>
                      <a:fillRect/>
                    </a:stretch>
                  </pic:blipFill>
                  <pic:spPr bwMode="auto">
                    <a:xfrm>
                      <a:off x="0" y="0"/>
                      <a:ext cx="5600700" cy="3015761"/>
                    </a:xfrm>
                    <a:prstGeom prst="rect">
                      <a:avLst/>
                    </a:prstGeom>
                    <a:noFill/>
                    <a:ln w="9525">
                      <a:noFill/>
                      <a:headEnd/>
                      <a:tailEnd/>
                    </a:ln>
                  </pic:spPr>
                </pic:pic>
              </a:graphicData>
            </a:graphic>
          </wp:inline>
        </w:drawing>
      </w:r>
      <w:bookmarkEnd w:id="79"/>
    </w:p>
    <w:p>
      <w:pPr>
        <w:pStyle w:val="ImageCaption"/>
      </w:pPr>
      <w:r>
        <w:t xml:space="preserve">Imagen 6: Fondo Nacional del Ahorro - Vista general de arquitectura de referencia. N1</w:t>
      </w:r>
    </w:p>
    <w:bookmarkEnd w:id="0"/>
    <w:p>
      <w:pPr>
        <w:pStyle w:val="Textoindependiente"/>
      </w:pPr>
    </w:p>
    <w:bookmarkEnd w:id="80"/>
    <w:bookmarkStart w:id="85" w:name="nivel-de-detalle-2"/>
    <w:p>
      <w:pPr>
        <w:pStyle w:val="Ttulo4"/>
      </w:pPr>
      <w:r>
        <w:t xml:space="preserve">Nivel de detalle 2</w:t>
      </w:r>
    </w:p>
    <w:bookmarkStart w:id="0" w:name="fig:4869db0d-2538-4b61-88d2-65c1a3d42642"/>
    <w:p>
      <w:pPr>
        <w:pStyle w:val="CaptionedFigure"/>
      </w:pPr>
      <w:bookmarkStart w:id="84" w:name="fig:"/>
      <w:r>
        <w:drawing>
          <wp:inline>
            <wp:extent cx="5600700" cy="3015761"/>
            <wp:effectExtent b="0" l="0" r="0" t="0"/>
            <wp:docPr descr="Imagen 7: Fondo Nacional del Ahorro - Vista general de arquitectura de referencia. N1" title="" id="82" name="Picture"/>
            <a:graphic>
              <a:graphicData uri="http://schemas.openxmlformats.org/drawingml/2006/picture">
                <pic:pic>
                  <pic:nvPicPr>
                    <pic:cNvPr descr="images/arqimage2.png" id="83" name="Picture"/>
                    <pic:cNvPicPr>
                      <a:picLocks noChangeArrowheads="1" noChangeAspect="1"/>
                    </pic:cNvPicPr>
                  </pic:nvPicPr>
                  <pic:blipFill>
                    <a:blip r:embed="rId81"/>
                    <a:stretch>
                      <a:fillRect/>
                    </a:stretch>
                  </pic:blipFill>
                  <pic:spPr bwMode="auto">
                    <a:xfrm>
                      <a:off x="0" y="0"/>
                      <a:ext cx="5600700" cy="3015761"/>
                    </a:xfrm>
                    <a:prstGeom prst="rect">
                      <a:avLst/>
                    </a:prstGeom>
                    <a:noFill/>
                    <a:ln w="9525">
                      <a:noFill/>
                      <a:headEnd/>
                      <a:tailEnd/>
                    </a:ln>
                  </pic:spPr>
                </pic:pic>
              </a:graphicData>
            </a:graphic>
          </wp:inline>
        </w:drawing>
      </w:r>
      <w:bookmarkEnd w:id="84"/>
    </w:p>
    <w:p>
      <w:pPr>
        <w:pStyle w:val="ImageCaption"/>
      </w:pPr>
      <w:r>
        <w:t xml:space="preserve">Imagen 7: Fondo Nacional del Ahorro - Vista general de arquitectura de referencia. N1</w:t>
      </w:r>
    </w:p>
    <w:bookmarkEnd w:id="0"/>
    <w:p>
      <w:pPr>
        <w:pStyle w:val="Textoindependiente"/>
      </w:pPr>
    </w:p>
    <w:bookmarkEnd w:id="85"/>
    <w:bookmarkEnd w:id="86"/>
    <w:bookmarkEnd w:id="87"/>
    <w:bookmarkStart w:id="97"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89" w:name="pilares-de-la-malla-de-datos-data-mesh"/>
    <w:p>
      <w:pPr>
        <w:pStyle w:val="Ttulo3"/>
      </w:pPr>
      <w:r>
        <w:t xml:space="preserve">Pilares de la Malla de Datos (data mesh)</w:t>
      </w:r>
    </w:p>
    <w:bookmarkStart w:id="0" w:name="fig:28cefe2a-83d9-47fb-9801-35a1ed2e4c49"/>
    <w:p>
      <w:pPr>
        <w:pStyle w:val="FirstParagraph"/>
      </w:pPr>
      <w:bookmarkStart w:id="88" w:name="fig:"/>
      <w:r>
        <w:t xml:space="preserve">Imagen 8: Malla de datos para el FNA</w:t>
      </w:r>
      <w:bookmarkEnd w:id="88"/>
    </w:p>
    <w:bookmarkEnd w:id="0"/>
    <w:bookmarkEnd w:id="89"/>
    <w:bookmarkStart w:id="95"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6230896f-e1a7-424b-9f77-390bb05de127"/>
    <w:p>
      <w:pPr>
        <w:pStyle w:val="Textoindependiente"/>
      </w:pPr>
      <w:bookmarkStart w:id="90" w:name="fig:"/>
      <w:r>
        <w:t xml:space="preserve">Imagen 9: Plano de Datos Objetivo del FNA</w:t>
      </w:r>
      <w:bookmarkEnd w:id="90"/>
    </w:p>
    <w:bookmarkEnd w:id="0"/>
    <w:p>
      <w:pPr>
        <w:pStyle w:val="Textoindependiente"/>
      </w:pPr>
      <w:r>
        <w:t xml:space="preserve">La Ilustración a continuación muestra los marcos de referencia aplicables al dominio de Información:</w:t>
      </w:r>
    </w:p>
    <w:bookmarkStart w:id="0" w:name="fig:2e4b5c9c-a1ec-456a-b6ab-5539e52b5df1"/>
    <w:p>
      <w:pPr>
        <w:pStyle w:val="CaptionedFigure"/>
      </w:pPr>
      <w:bookmarkStart w:id="94" w:name="fig:"/>
      <w:r>
        <w:drawing>
          <wp:inline>
            <wp:extent cx="5600700" cy="2199596"/>
            <wp:effectExtent b="0" l="0" r="0" t="0"/>
            <wp:docPr descr="Imagen 10: Marcos de referencia aplicables a la arquitectura de información" title="" id="92" name="Picture"/>
            <a:graphic>
              <a:graphicData uri="http://schemas.openxmlformats.org/drawingml/2006/picture">
                <pic:pic>
                  <pic:nvPicPr>
                    <pic:cNvPr descr="images/datimage3.png" id="93" name="Picture"/>
                    <pic:cNvPicPr>
                      <a:picLocks noChangeArrowheads="1" noChangeAspect="1"/>
                    </pic:cNvPicPr>
                  </pic:nvPicPr>
                  <pic:blipFill>
                    <a:blip r:embed="rId91"/>
                    <a:stretch>
                      <a:fillRect/>
                    </a:stretch>
                  </pic:blipFill>
                  <pic:spPr bwMode="auto">
                    <a:xfrm>
                      <a:off x="0" y="0"/>
                      <a:ext cx="5600700" cy="2199596"/>
                    </a:xfrm>
                    <a:prstGeom prst="rect">
                      <a:avLst/>
                    </a:prstGeom>
                    <a:noFill/>
                    <a:ln w="9525">
                      <a:noFill/>
                      <a:headEnd/>
                      <a:tailEnd/>
                    </a:ln>
                  </pic:spPr>
                </pic:pic>
              </a:graphicData>
            </a:graphic>
          </wp:inline>
        </w:drawing>
      </w:r>
      <w:bookmarkEnd w:id="94"/>
    </w:p>
    <w:p>
      <w:pPr>
        <w:pStyle w:val="ImageCaption"/>
      </w:pPr>
      <w:r>
        <w:t xml:space="preserve">Imagen 10: Marcos de referencia aplicables a la arquitectura de información</w:t>
      </w:r>
    </w:p>
    <w:bookmarkEnd w:id="0"/>
    <w:bookmarkEnd w:id="95"/>
    <w:bookmarkStart w:id="96"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96"/>
    <w:bookmarkEnd w:id="97"/>
    <w:bookmarkStart w:id="10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98" w:name="arquitectura-objetivo"/>
    <w:p>
      <w:pPr>
        <w:pStyle w:val="Ttulo3"/>
      </w:pPr>
      <w:r>
        <w:t xml:space="preserve">Arquitectura Objetivo</w:t>
      </w:r>
    </w:p>
    <w:p>
      <w:pPr>
        <w:pStyle w:val="FirstParagraph"/>
      </w:pPr>
    </w:p>
    <w:p>
      <w:pPr>
        <w:pStyle w:val="Textoindependiente"/>
      </w:pPr>
    </w:p>
    <w:bookmarkEnd w:id="98"/>
    <w:bookmarkStart w:id="9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1.d8a662d</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99"/>
    <w:bookmarkEnd w:id="100"/>
    <w:bookmarkEnd w:id="101"/>
    <w:bookmarkStart w:id="102"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1.d8a662d</w:t>
            </w:r>
            <w:r>
              <w:t xml:space="preserve"> </w:t>
            </w:r>
            <w:r>
              <w:t xml:space="preserve">del 26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02"/>
    <w:bookmarkStart w:id="103"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eservices1-22">
        <w:r>
          <w:rPr>
            <w:rStyle w:val="Hipervnculo"/>
            <w:bCs/>
            <w:b/>
          </w:rPr>
          <w:t xml:space="preserve">eservices1-22?</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bookmarkEnd w:id="103"/>
    <w:bookmarkStart w:id="108" w:name="referencias"/>
    <w:p>
      <w:pPr>
        <w:pStyle w:val="Ttulo1"/>
      </w:pPr>
      <w:r>
        <w:t xml:space="preserve">Referencias</w:t>
      </w:r>
    </w:p>
    <w:bookmarkStart w:id="104" w:name="refs"/>
    <w:p>
      <w:pPr>
        <w:pStyle w:val="Bibliography"/>
      </w:pPr>
      <w:r>
        <w:t xml:space="preserve">E-Service. Situación SOA Actual del FNA. Etapa I. (2022).</w:t>
      </w:r>
    </w:p>
    <w:bookmarkEnd w:id="104"/>
    <w:bookmarkStart w:id="105" w:name="refs"/>
    <w:p>
      <w:pPr>
        <w:pStyle w:val="Bibliography"/>
      </w:pPr>
      <w:r>
        <w:t xml:space="preserve">E-Service. Arquitectura de Referencia del FNA. Etapa II. (2023).</w:t>
      </w:r>
    </w:p>
    <w:bookmarkEnd w:id="105"/>
    <w:bookmarkStart w:id="106" w:name="refs"/>
    <w:p>
      <w:pPr>
        <w:pStyle w:val="Bibliography"/>
      </w:pPr>
      <w:r>
        <w:t xml:space="preserve">E-Service. Hoja de Ruta e Iniciativas. Etapa III. (2023).</w:t>
      </w:r>
    </w:p>
    <w:bookmarkEnd w:id="106"/>
    <w:bookmarkStart w:id="107" w:name="refs"/>
    <w:p>
      <w:pPr>
        <w:pStyle w:val="Bibliography"/>
      </w:pPr>
      <w:r>
        <w:t xml:space="preserve">TOGAF 9.1. Risk Management (2023). En https://pubs.opengroup.org/architecture/togaf9-doc/arch/chap27.html</w:t>
      </w:r>
    </w:p>
    <w:bookmarkEnd w:id="107"/>
    <w:bookmarkEnd w:id="10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76" Target="media/rId76.png" /><Relationship Type="http://schemas.openxmlformats.org/officeDocument/2006/relationships/image" Id="rId71" Target="media/rId71.png" /><Relationship Type="http://schemas.openxmlformats.org/officeDocument/2006/relationships/image" Id="rId81" Target="media/rId81.png" /><Relationship Type="http://schemas.openxmlformats.org/officeDocument/2006/relationships/image" Id="rId91" Target="media/rId9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d8a662df30ca3b58aa26f3430ae768f8e08b4a2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1/v/d8a662df30ca3b58aa26f3430ae768f8e08b4a23/"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2023-07-26T20:59:40Z</dcterms:created>
  <dcterms:modified xsi:type="dcterms:W3CDTF">2023-07-26T20:59:40Z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2023-07-26</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