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2.png" ContentType="image/png"/>
  <Override PartName="/word/media/rId74.png" ContentType="image/png"/>
  <Override PartName="/word/media/rId69.png" ContentType="image/png"/>
  <Override PartName="/word/media/rId79.png" ContentType="image/png"/>
  <Override PartName="/word/media/rId109.png" ContentType="image/png"/>
  <Override PartName="/word/media/rId114.png" ContentType="image/png"/>
  <Override PartName="/word/media/rId86.png" ContentType="image/png"/>
  <Override PartName="/word/media/rId91.png" ContentType="image/png"/>
  <Override PartName="/word/media/rId95.png" ContentType="image/png"/>
  <Override PartName="/word/media/rId42.png" ContentType="image/png"/>
  <Override PartName="/word/media/rId46.png" ContentType="image/png"/>
  <Override PartName="/word/media/rId3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STEF@f47c79f</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1.f47c79f de 02 Aug 2023</w:t>
      </w:r>
    </w:p>
    <w:p>
      <w:pPr>
        <w:pStyle w:val="Textoindependiente"/>
      </w:pPr>
    </w:p>
    <w:bookmarkStart w:id="23" w:name="autores"/>
    <w:p>
      <w:pPr>
        <w:pStyle w:val="Ttulo2"/>
      </w:pPr>
      <w:r>
        <w:t xml:space="preserve">Autores</w:t>
      </w:r>
    </w:p>
    <w:bookmarkStart w:id="22" w:name="correspondence"/>
    <w:p>
      <w:pPr>
        <w:pStyle w:val="FirstParagraph"/>
      </w:pPr>
      <w:r>
        <w:t xml:space="preserve">✉ — Enviar mensajes a</w:t>
      </w:r>
    </w:p>
    <w:bookmarkEnd w:id="22"/>
    <w:p>
      <w:pPr>
        <w:pStyle w:val="Textoindependiente"/>
      </w:pPr>
    </w:p>
    <w:bookmarkEnd w:id="23"/>
    <w:bookmarkStart w:id="24"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4"/>
    <w:bookmarkStart w:id="26"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1.f47c79f del 02 Aug 2023</w:t>
            </w:r>
          </w:p>
        </w:tc>
      </w:tr>
      <w:tr>
        <w:tc>
          <w:tcPr/>
          <w:p>
            <w:pPr>
              <w:pStyle w:val="Compact"/>
              <w:jc w:val="left"/>
            </w:pPr>
            <w:r>
              <w:t xml:space="preserve">Vínculos</w:t>
            </w:r>
          </w:p>
        </w:tc>
        <w:tc>
          <w:tcPr/>
          <w:p>
            <w:pPr>
              <w:pStyle w:val="Compact"/>
              <w:jc w:val="left"/>
            </w:pPr>
            <w:hyperlink r:id="rId25">
              <w:r>
                <w:rPr>
                  <w:rStyle w:val="Hipervnculo"/>
                </w:rPr>
                <w:t xml:space="preserve">N003a Vista Segmento SOA FNA</w:t>
              </w:r>
            </w:hyperlink>
          </w:p>
        </w:tc>
      </w:tr>
    </w:tbl>
    <w:p>
      <w:pPr>
        <w:pStyle w:val="Textoindependiente"/>
      </w:pPr>
    </w:p>
    <w:p>
      <w:pPr>
        <w:pStyle w:val="Textoindependiente"/>
      </w:pPr>
    </w:p>
    <w:bookmarkEnd w:id="26"/>
    <w:bookmarkStart w:id="27"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1.f47c79f</w:t>
      </w:r>
    </w:p>
    <w:p>
      <w:pPr>
        <w:pStyle w:val="FirstParagraph"/>
      </w:pPr>
    </w:p>
    <w:bookmarkEnd w:id="27"/>
    <w:bookmarkStart w:id="38"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28"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28"/>
    <w:bookmarkStart w:id="29" w:name="contenidos-1"/>
    <w:p>
      <w:pPr>
        <w:pStyle w:val="Ttulo2"/>
      </w:pPr>
      <w:r>
        <w:t xml:space="preserve">Contenidos</w:t>
      </w:r>
    </w:p>
    <w:p>
      <w:pPr>
        <w:numPr>
          <w:ilvl w:val="0"/>
          <w:numId w:val="1001"/>
        </w:numPr>
        <w:pStyle w:val="Compact"/>
      </w:pPr>
      <w:r>
        <w:t xml:space="preserve">Flujo de trabajo del mantenimiento de la arquitectura de referencia (Oficina de Arquitectura del FNA)</w:t>
      </w:r>
    </w:p>
    <w:p>
      <w:pPr>
        <w:numPr>
          <w:ilvl w:val="0"/>
          <w:numId w:val="1001"/>
        </w:numPr>
        <w:pStyle w:val="Compact"/>
      </w:pPr>
      <w:r>
        <w:t xml:space="preserve">Principios y operaciones de mantenimiento de la arquitectura de referencia (Oficina de Arquitectura del FNA)</w:t>
      </w:r>
    </w:p>
    <w:p>
      <w:pPr>
        <w:numPr>
          <w:ilvl w:val="0"/>
          <w:numId w:val="1001"/>
        </w:numPr>
        <w:pStyle w:val="Compact"/>
      </w:pPr>
      <w:r>
        <w:t xml:space="preserve">Matriz de responsabilidades del mantenimiento de la arquitectura de referencia (Oficina de Arquitectura del FNA)</w:t>
      </w:r>
    </w:p>
    <w:p>
      <w:pPr>
        <w:pStyle w:val="FirstParagraph"/>
      </w:pPr>
    </w:p>
    <w:bookmarkEnd w:id="29"/>
    <w:bookmarkStart w:id="30" w:name="criterios-de-aceptación"/>
    <w:p>
      <w:pPr>
        <w:pStyle w:val="Ttulo2"/>
      </w:pPr>
      <w:r>
        <w:t xml:space="preserve">Criterios de Aceptación</w:t>
      </w:r>
    </w:p>
    <w:p>
      <w:pPr>
        <w:numPr>
          <w:ilvl w:val="0"/>
          <w:numId w:val="1002"/>
        </w:numPr>
        <w:pStyle w:val="Compact"/>
      </w:pPr>
      <w:r>
        <w:t xml:space="preserve">Entendimiento de las operaciones y mantenibilidad de la arquitectura de referencia SOA 2.0 del FNA</w:t>
      </w:r>
    </w:p>
    <w:p>
      <w:pPr>
        <w:numPr>
          <w:ilvl w:val="0"/>
          <w:numId w:val="1002"/>
        </w:numPr>
        <w:pStyle w:val="Compact"/>
      </w:pPr>
      <w:r>
        <w:t xml:space="preserve">Matriz de roles y procedimientos encargados de mantenibilidad de la arquitectura de referencia SOA 2.0</w:t>
      </w:r>
    </w:p>
    <w:p>
      <w:pPr>
        <w:pStyle w:val="FirstParagraph"/>
      </w:pPr>
    </w:p>
    <w:bookmarkEnd w:id="30"/>
    <w:bookmarkStart w:id="37" w:name="modelo-de-implementación-del-pry02"/>
    <w:p>
      <w:pPr>
        <w:pStyle w:val="Ttulo2"/>
      </w:pPr>
      <w:r>
        <w:t xml:space="preserve">Modelo de Implementación del PRY02</w:t>
      </w:r>
    </w:p>
    <w:bookmarkStart w:id="0" w:name="fig:2ee67050-329d-4553-b086-01d4cc9f5f79"/>
    <w:p>
      <w:pPr>
        <w:pStyle w:val="CaptionedFigure"/>
      </w:pPr>
      <w:bookmarkStart w:id="34" w:name="fig:"/>
      <w:r>
        <w:drawing>
          <wp:inline>
            <wp:extent cx="5600700" cy="4264411"/>
            <wp:effectExtent b="0" l="0" r="0" t="0"/>
            <wp:docPr descr="Imagen 1: Plan de Implementación del Proyecto Hoja de Ruta E-Service FNA, 2023. Abril 2023 a Agosto 2023" title="" id="32" name="Picture"/>
            <a:graphic>
              <a:graphicData uri="http://schemas.openxmlformats.org/drawingml/2006/picture">
                <pic:pic>
                  <pic:nvPicPr>
                    <pic:cNvPr descr="images/pry2.png" id="33"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34"/>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37"/>
    <w:bookmarkEnd w:id="38"/>
    <w:bookmarkStart w:id="39"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39"/>
    <w:bookmarkStart w:id="40"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0"/>
    <w:bookmarkStart w:id="55"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1">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d597b6f3-1189-4600-af7e-0d90b7c3ee37"/>
    <w:p>
      <w:pPr>
        <w:pStyle w:val="CaptionedFigure"/>
      </w:pPr>
      <w:bookmarkStart w:id="45" w:name="fig:"/>
      <w:r>
        <w:drawing>
          <wp:inline>
            <wp:extent cx="5600700" cy="4878524"/>
            <wp:effectExtent b="0" l="0" r="0" t="0"/>
            <wp:docPr descr="Imagen 2: FLARQ03. Flujo de Trabajo de nivel 1 del FNA para el mantenimiento de las arquitecturas de referencia" title="" id="43" name="Picture"/>
            <a:graphic>
              <a:graphicData uri="http://schemas.openxmlformats.org/drawingml/2006/picture">
                <pic:pic>
                  <pic:nvPicPr>
                    <pic:cNvPr descr="images/flujoarqref1.png" id="44" name="Picture"/>
                    <pic:cNvPicPr>
                      <a:picLocks noChangeArrowheads="1" noChangeAspect="1"/>
                    </pic:cNvPicPr>
                  </pic:nvPicPr>
                  <pic:blipFill>
                    <a:blip r:embed="rId42"/>
                    <a:stretch>
                      <a:fillRect/>
                    </a:stretch>
                  </pic:blipFill>
                  <pic:spPr bwMode="auto">
                    <a:xfrm>
                      <a:off x="0" y="0"/>
                      <a:ext cx="5600700" cy="4878524"/>
                    </a:xfrm>
                    <a:prstGeom prst="rect">
                      <a:avLst/>
                    </a:prstGeom>
                    <a:noFill/>
                    <a:ln w="9525">
                      <a:noFill/>
                      <a:headEnd/>
                      <a:tailEnd/>
                    </a:ln>
                  </pic:spPr>
                </pic:pic>
              </a:graphicData>
            </a:graphic>
          </wp:inline>
        </w:drawing>
      </w:r>
      <w:bookmarkEnd w:id="45"/>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93b0b8d7-c3e1-4b49-94aa-75dc406d25da"/>
    <w:p>
      <w:pPr>
        <w:pStyle w:val="CaptionedFigure"/>
      </w:pPr>
      <w:bookmarkStart w:id="49" w:name="fig:"/>
      <w:r>
        <w:drawing>
          <wp:inline>
            <wp:extent cx="5600700" cy="4573557"/>
            <wp:effectExtent b="0" l="0" r="0" t="0"/>
            <wp:docPr descr="Imagen 3: FLARQ03. Estructura interna del flujo de trabajo FNA para el mantenimiento de las arquitecturas de referencia" title="" id="47" name="Picture"/>
            <a:graphic>
              <a:graphicData uri="http://schemas.openxmlformats.org/drawingml/2006/picture">
                <pic:pic>
                  <pic:nvPicPr>
                    <pic:cNvPr descr="images/flujoarqref2.png" id="48" name="Picture"/>
                    <pic:cNvPicPr>
                      <a:picLocks noChangeArrowheads="1" noChangeAspect="1"/>
                    </pic:cNvPicPr>
                  </pic:nvPicPr>
                  <pic:blipFill>
                    <a:blip r:embed="rId46"/>
                    <a:stretch>
                      <a:fillRect/>
                    </a:stretch>
                  </pic:blipFill>
                  <pic:spPr bwMode="auto">
                    <a:xfrm>
                      <a:off x="0" y="0"/>
                      <a:ext cx="5600700" cy="4573557"/>
                    </a:xfrm>
                    <a:prstGeom prst="rect">
                      <a:avLst/>
                    </a:prstGeom>
                    <a:noFill/>
                    <a:ln w="9525">
                      <a:noFill/>
                      <a:headEnd/>
                      <a:tailEnd/>
                    </a:ln>
                  </pic:spPr>
                </pic:pic>
              </a:graphicData>
            </a:graphic>
          </wp:inline>
        </w:drawing>
      </w:r>
      <w:bookmarkEnd w:id="49"/>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3"/>
        </w:numPr>
        <w:pStyle w:val="Compact"/>
      </w:pPr>
      <w:r>
        <w:t xml:space="preserve">transiciones</w:t>
      </w:r>
    </w:p>
    <w:p>
      <w:pPr>
        <w:numPr>
          <w:ilvl w:val="0"/>
          <w:numId w:val="1003"/>
        </w:numPr>
        <w:pStyle w:val="Compact"/>
      </w:pPr>
      <w:r>
        <w:t xml:space="preserve">migraciones</w:t>
      </w:r>
    </w:p>
    <w:p>
      <w:pPr>
        <w:numPr>
          <w:ilvl w:val="0"/>
          <w:numId w:val="1003"/>
        </w:numPr>
        <w:pStyle w:val="Compact"/>
      </w:pPr>
      <w:r>
        <w:t xml:space="preserve">interfaces</w:t>
      </w:r>
    </w:p>
    <w:p>
      <w:pPr>
        <w:numPr>
          <w:ilvl w:val="0"/>
          <w:numId w:val="1003"/>
        </w:numPr>
        <w:pStyle w:val="Compact"/>
      </w:pPr>
      <w:r>
        <w:t xml:space="preserve">reformas</w:t>
      </w:r>
    </w:p>
    <w:p>
      <w:pPr>
        <w:numPr>
          <w:ilvl w:val="0"/>
          <w:numId w:val="1003"/>
        </w:numPr>
        <w:pStyle w:val="Compact"/>
      </w:pPr>
      <w:r>
        <w:t xml:space="preserve">controles</w:t>
      </w:r>
    </w:p>
    <w:p>
      <w:pPr>
        <w:numPr>
          <w:ilvl w:val="0"/>
          <w:numId w:val="1003"/>
        </w:numPr>
        <w:pStyle w:val="Compact"/>
      </w:pPr>
      <w:r>
        <w:t xml:space="preserve">integración</w:t>
      </w:r>
    </w:p>
    <w:p>
      <w:pPr>
        <w:numPr>
          <w:ilvl w:val="0"/>
          <w:numId w:val="1003"/>
        </w:numPr>
        <w:pStyle w:val="Compact"/>
      </w:pPr>
      <w:r>
        <w:t xml:space="preserve">análisis</w:t>
      </w:r>
    </w:p>
    <w:p>
      <w:pPr>
        <w:numPr>
          <w:ilvl w:val="0"/>
          <w:numId w:val="1003"/>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0"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4"/>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4"/>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4"/>
        </w:numPr>
      </w:pPr>
      <w:r>
        <w:t xml:space="preserve">Elaborar el diagrama por cada declaración del metamodelo (por cada relación)</w:t>
      </w:r>
    </w:p>
    <w:bookmarkEnd w:id="50"/>
    <w:bookmarkStart w:id="54"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1"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1"/>
    <w:bookmarkStart w:id="53"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2"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2"/>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3"/>
    <w:bookmarkEnd w:id="54"/>
    <w:bookmarkEnd w:id="55"/>
    <w:bookmarkStart w:id="56"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6"/>
    <w:bookmarkStart w:id="57"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7"/>
        </w:numPr>
        <w:pStyle w:val="Compact"/>
      </w:pPr>
      <w:r>
        <w:t xml:space="preserve">Especificaciones de arquitectura (referencia)</w:t>
      </w:r>
    </w:p>
    <w:p>
      <w:pPr>
        <w:numPr>
          <w:ilvl w:val="0"/>
          <w:numId w:val="1007"/>
        </w:numPr>
        <w:pStyle w:val="Compact"/>
      </w:pPr>
      <w:r>
        <w:t xml:space="preserve">Ingeniería (diseños de solución)</w:t>
      </w:r>
    </w:p>
    <w:p>
      <w:pPr>
        <w:numPr>
          <w:ilvl w:val="0"/>
          <w:numId w:val="1007"/>
        </w:numPr>
        <w:pStyle w:val="Compact"/>
      </w:pPr>
      <w:r>
        <w:t xml:space="preserve">Verificación especificación- diseño</w:t>
      </w:r>
    </w:p>
    <w:p>
      <w:pPr>
        <w:pStyle w:val="FirstParagraph"/>
      </w:pPr>
    </w:p>
    <w:bookmarkEnd w:id="57"/>
    <w:bookmarkStart w:id="60"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59"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8"/>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8"/>
        </w:numPr>
        <w:pStyle w:val="Compact"/>
      </w:pPr>
      <w:r>
        <w:t xml:space="preserve">Arquitecto SOA FNA. Representa al personal involucrado con la oficina de arquitectura del FNA.</w:t>
      </w:r>
    </w:p>
    <w:p>
      <w:pPr>
        <w:numPr>
          <w:ilvl w:val="0"/>
          <w:numId w:val="1008"/>
        </w:numPr>
        <w:pStyle w:val="Compact"/>
      </w:pPr>
      <w:r>
        <w:t xml:space="preserve">Arquitecto Solución. Representa al personal involucrado con la oficina de arquitectura del FNA.</w:t>
      </w:r>
    </w:p>
    <w:p>
      <w:pPr>
        <w:numPr>
          <w:ilvl w:val="0"/>
          <w:numId w:val="1008"/>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58"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58"/>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1.f47c79f</w:t>
      </w:r>
    </w:p>
    <w:p>
      <w:pPr>
        <w:pStyle w:val="FirstParagraph"/>
      </w:pPr>
    </w:p>
    <w:bookmarkEnd w:id="59"/>
    <w:bookmarkEnd w:id="60"/>
    <w:bookmarkStart w:id="68"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1"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1"/>
    <w:bookmarkStart w:id="62"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 del FNA</w:t>
      </w:r>
    </w:p>
    <w:p>
      <w:pPr>
        <w:numPr>
          <w:ilvl w:val="0"/>
          <w:numId w:val="1009"/>
        </w:numPr>
        <w:pStyle w:val="Compact"/>
      </w:pPr>
      <w:r>
        <w:t xml:space="preserve">Vistas lógicas y conceptuales de las arquitecturas de referencia del FNA</w:t>
      </w:r>
    </w:p>
    <w:p>
      <w:pPr>
        <w:numPr>
          <w:ilvl w:val="0"/>
          <w:numId w:val="1009"/>
        </w:numPr>
        <w:pStyle w:val="Compact"/>
      </w:pPr>
      <w:r>
        <w:t xml:space="preserve">Documentación técnica 0.1 de la Arquitectura de Referencia 2.0 del FNA</w:t>
      </w:r>
    </w:p>
    <w:p>
      <w:pPr>
        <w:pStyle w:val="FirstParagraph"/>
      </w:pPr>
    </w:p>
    <w:bookmarkEnd w:id="62"/>
    <w:bookmarkStart w:id="63" w:name="criterios-de-aceptación-1"/>
    <w:p>
      <w:pPr>
        <w:pStyle w:val="Ttulo2"/>
      </w:pPr>
      <w:r>
        <w:t xml:space="preserve">Criterios de Aceptación</w:t>
      </w:r>
    </w:p>
    <w:p>
      <w:pPr>
        <w:numPr>
          <w:ilvl w:val="0"/>
          <w:numId w:val="1010"/>
        </w:numPr>
        <w:pStyle w:val="Compact"/>
      </w:pPr>
      <w:r>
        <w:t xml:space="preserve">Entendimiento de las vistas lógicas y conceptuales de las arquitecturas de referencia del FNA</w:t>
      </w:r>
    </w:p>
    <w:p>
      <w:pPr>
        <w:numPr>
          <w:ilvl w:val="0"/>
          <w:numId w:val="1010"/>
        </w:numPr>
        <w:pStyle w:val="Compact"/>
      </w:pPr>
      <w:r>
        <w:t xml:space="preserve">Entendimiento de los procedimientos para creación y mantenimiento de las arquitecturas de referencia del FNA</w:t>
      </w:r>
    </w:p>
    <w:p>
      <w:pPr>
        <w:numPr>
          <w:ilvl w:val="0"/>
          <w:numId w:val="1010"/>
        </w:numPr>
        <w:pStyle w:val="Compact"/>
      </w:pPr>
      <w:r>
        <w:t xml:space="preserve">ntendimiento de las consideraciones para la implementación de las arquitecturas de referencia del FNA</w:t>
      </w:r>
    </w:p>
    <w:p>
      <w:pPr>
        <w:pStyle w:val="FirstParagraph"/>
      </w:pPr>
    </w:p>
    <w:bookmarkEnd w:id="63"/>
    <w:bookmarkStart w:id="67" w:name="modelo-de-implementación-del-pry02-1"/>
    <w:p>
      <w:pPr>
        <w:pStyle w:val="Ttulo2"/>
      </w:pPr>
      <w:r>
        <w:t xml:space="preserve">Modelo de Implementación del PRY02</w:t>
      </w:r>
    </w:p>
    <w:bookmarkStart w:id="0" w:name="fig:322bdeda-0b66-4876-8edd-2d976c389504"/>
    <w:p>
      <w:pPr>
        <w:pStyle w:val="CaptionedFigure"/>
      </w:pPr>
      <w:bookmarkStart w:id="66" w:name="fig:"/>
      <w:r>
        <w:drawing>
          <wp:inline>
            <wp:extent cx="5600700" cy="4264411"/>
            <wp:effectExtent b="0" l="0" r="0" t="0"/>
            <wp:docPr descr="Imagen 4: Plan de Implementación del Proyecto Hoja de Ruta E-Service FNA, 2023. Abril 2023 a Agosto 2023" title="" id="64" name="Picture"/>
            <a:graphic>
              <a:graphicData uri="http://schemas.openxmlformats.org/drawingml/2006/picture">
                <pic:pic>
                  <pic:nvPicPr>
                    <pic:cNvPr descr="images/pry2.png" id="65"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66"/>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67"/>
    <w:bookmarkEnd w:id="68"/>
    <w:bookmarkStart w:id="10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5" w:name="dominio-de-servicios-y-aplicaciones-fna"/>
    <w:p>
      <w:pPr>
        <w:pStyle w:val="Ttulo2"/>
      </w:pPr>
      <w:r>
        <w:t xml:space="preserve">Dominio de Servicios y Aplicaciones FNA</w:t>
      </w:r>
    </w:p>
    <w:bookmarkStart w:id="73"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2" w:name="fig:arqimage1.png"/>
      <w:r>
        <w:drawing>
          <wp:inline>
            <wp:extent cx="5600700" cy="3267074"/>
            <wp:effectExtent b="0" l="0" r="0" t="0"/>
            <wp:docPr descr="Imagen 5: Fondo Nacional del Ahorro - Vista general de arquitectura actual" title="" id="70" name="Picture"/>
            <a:graphic>
              <a:graphicData uri="http://schemas.openxmlformats.org/drawingml/2006/picture">
                <pic:pic>
                  <pic:nvPicPr>
                    <pic:cNvPr descr="images/arqimage1.png" id="71" name="Picture"/>
                    <pic:cNvPicPr>
                      <a:picLocks noChangeArrowheads="1" noChangeAspect="1"/>
                    </pic:cNvPicPr>
                  </pic:nvPicPr>
                  <pic:blipFill>
                    <a:blip r:embed="rId69"/>
                    <a:stretch>
                      <a:fillRect/>
                    </a:stretch>
                  </pic:blipFill>
                  <pic:spPr bwMode="auto">
                    <a:xfrm>
                      <a:off x="0" y="0"/>
                      <a:ext cx="5600700" cy="3267074"/>
                    </a:xfrm>
                    <a:prstGeom prst="rect">
                      <a:avLst/>
                    </a:prstGeom>
                    <a:noFill/>
                    <a:ln w="9525">
                      <a:noFill/>
                      <a:headEnd/>
                      <a:tailEnd/>
                    </a:ln>
                  </pic:spPr>
                </pic:pic>
              </a:graphicData>
            </a:graphic>
          </wp:inline>
        </w:drawing>
      </w:r>
      <w:bookmarkEnd w:id="72"/>
    </w:p>
    <w:p>
      <w:pPr>
        <w:pStyle w:val="ImageCaption"/>
      </w:pPr>
      <w:r>
        <w:t xml:space="preserve">Imagen 5: Fondo Nacional del Ahorro - Vista general de arquitectura actual</w:t>
      </w:r>
    </w:p>
    <w:bookmarkEnd w:id="0"/>
    <w:p>
      <w:pPr>
        <w:pStyle w:val="Textoindependiente"/>
      </w:pPr>
    </w:p>
    <w:bookmarkEnd w:id="73"/>
    <w:bookmarkStart w:id="84"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78"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77"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5" name="Picture"/>
            <a:graphic>
              <a:graphicData uri="http://schemas.openxmlformats.org/drawingml/2006/picture">
                <pic:pic>
                  <pic:nvPicPr>
                    <pic:cNvPr descr="images/arqimage1.1.png" id="76" name="Picture"/>
                    <pic:cNvPicPr>
                      <a:picLocks noChangeArrowheads="1" noChangeAspect="1"/>
                    </pic:cNvPicPr>
                  </pic:nvPicPr>
                  <pic:blipFill>
                    <a:blip r:embed="rId74"/>
                    <a:stretch>
                      <a:fillRect/>
                    </a:stretch>
                  </pic:blipFill>
                  <pic:spPr bwMode="auto">
                    <a:xfrm>
                      <a:off x="0" y="0"/>
                      <a:ext cx="5600700" cy="3015761"/>
                    </a:xfrm>
                    <a:prstGeom prst="rect">
                      <a:avLst/>
                    </a:prstGeom>
                    <a:noFill/>
                    <a:ln w="9525">
                      <a:noFill/>
                      <a:headEnd/>
                      <a:tailEnd/>
                    </a:ln>
                  </pic:spPr>
                </pic:pic>
              </a:graphicData>
            </a:graphic>
          </wp:inline>
        </w:drawing>
      </w:r>
      <w:bookmarkEnd w:id="77"/>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78"/>
    <w:bookmarkStart w:id="83"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2"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0" name="Picture"/>
            <a:graphic>
              <a:graphicData uri="http://schemas.openxmlformats.org/drawingml/2006/picture">
                <pic:pic>
                  <pic:nvPicPr>
                    <pic:cNvPr descr="images/arqimage2.png" id="81" name="Picture"/>
                    <pic:cNvPicPr>
                      <a:picLocks noChangeArrowheads="1" noChangeAspect="1"/>
                    </pic:cNvPicPr>
                  </pic:nvPicPr>
                  <pic:blipFill>
                    <a:blip r:embed="rId79"/>
                    <a:stretch>
                      <a:fillRect/>
                    </a:stretch>
                  </pic:blipFill>
                  <pic:spPr bwMode="auto">
                    <a:xfrm>
                      <a:off x="0" y="0"/>
                      <a:ext cx="5600700" cy="3015761"/>
                    </a:xfrm>
                    <a:prstGeom prst="rect">
                      <a:avLst/>
                    </a:prstGeom>
                    <a:noFill/>
                    <a:ln w="9525">
                      <a:noFill/>
                      <a:headEnd/>
                      <a:tailEnd/>
                    </a:ln>
                  </pic:spPr>
                </pic:pic>
              </a:graphicData>
            </a:graphic>
          </wp:inline>
        </w:drawing>
      </w:r>
      <w:bookmarkEnd w:id="82"/>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3"/>
    <w:bookmarkEnd w:id="84"/>
    <w:bookmarkEnd w:id="85"/>
    <w:bookmarkStart w:id="10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0" w:name="pilares-de-la-malla-de-datos-data-mesh"/>
    <w:p>
      <w:pPr>
        <w:pStyle w:val="Ttulo3"/>
      </w:pPr>
      <w:r>
        <w:t xml:space="preserve">Pilares de la Malla de Datos (data mesh)</w:t>
      </w:r>
    </w:p>
    <w:bookmarkStart w:id="0" w:name="fig:65d03e5d-c71e-434b-ab8b-75f8e0e5b9e9"/>
    <w:p>
      <w:pPr>
        <w:pStyle w:val="CaptionedFigure"/>
      </w:pPr>
      <w:bookmarkStart w:id="89" w:name="fig:"/>
      <w:r>
        <w:drawing>
          <wp:inline>
            <wp:extent cx="5486400" cy="2743200"/>
            <wp:effectExtent b="0" l="0" r="0" t="0"/>
            <wp:docPr descr="Imagen 8: Malla de datos para el FNA" title="" id="87" name="Picture"/>
            <a:graphic>
              <a:graphicData uri="http://schemas.openxmlformats.org/drawingml/2006/picture">
                <pic:pic>
                  <pic:nvPicPr>
                    <pic:cNvPr descr="images/datimage1.png" id="88" name="Picture"/>
                    <pic:cNvPicPr>
                      <a:picLocks noChangeArrowheads="1" noChangeAspect="1"/>
                    </pic:cNvPicPr>
                  </pic:nvPicPr>
                  <pic:blipFill>
                    <a:blip r:embed="rId86"/>
                    <a:stretch>
                      <a:fillRect/>
                    </a:stretch>
                  </pic:blipFill>
                  <pic:spPr bwMode="auto">
                    <a:xfrm>
                      <a:off x="0" y="0"/>
                      <a:ext cx="5486400" cy="2743200"/>
                    </a:xfrm>
                    <a:prstGeom prst="rect">
                      <a:avLst/>
                    </a:prstGeom>
                    <a:noFill/>
                    <a:ln w="9525">
                      <a:noFill/>
                      <a:headEnd/>
                      <a:tailEnd/>
                    </a:ln>
                  </pic:spPr>
                </pic:pic>
              </a:graphicData>
            </a:graphic>
          </wp:inline>
        </w:drawing>
      </w:r>
      <w:bookmarkEnd w:id="89"/>
    </w:p>
    <w:p>
      <w:pPr>
        <w:pStyle w:val="ImageCaption"/>
      </w:pPr>
      <w:r>
        <w:t xml:space="preserve">Imagen 8: Malla de datos para el FNA</w:t>
      </w:r>
    </w:p>
    <w:bookmarkEnd w:id="0"/>
    <w:bookmarkEnd w:id="90"/>
    <w:bookmarkStart w:id="9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c0f2336-23f9-4d04-8ad7-3c0010f2d3a8"/>
    <w:p>
      <w:pPr>
        <w:pStyle w:val="CaptionedFigure"/>
      </w:pPr>
      <w:bookmarkStart w:id="94" w:name="fig:"/>
      <w:r>
        <w:drawing>
          <wp:inline>
            <wp:extent cx="5486400" cy="3200400"/>
            <wp:effectExtent b="0" l="0" r="0" t="0"/>
            <wp:docPr descr="Imagen 9: Plano de Datos Objetivo del FNA" title="" id="92" name="Picture"/>
            <a:graphic>
              <a:graphicData uri="http://schemas.openxmlformats.org/drawingml/2006/picture">
                <pic:pic>
                  <pic:nvPicPr>
                    <pic:cNvPr descr="images/datimage2.png" id="93" name="Picture"/>
                    <pic:cNvPicPr>
                      <a:picLocks noChangeArrowheads="1" noChangeAspect="1"/>
                    </pic:cNvPicPr>
                  </pic:nvPicPr>
                  <pic:blipFill>
                    <a:blip r:embed="rId91"/>
                    <a:stretch>
                      <a:fillRect/>
                    </a:stretch>
                  </pic:blipFill>
                  <pic:spPr bwMode="auto">
                    <a:xfrm>
                      <a:off x="0" y="0"/>
                      <a:ext cx="5486400" cy="3200400"/>
                    </a:xfrm>
                    <a:prstGeom prst="rect">
                      <a:avLst/>
                    </a:prstGeom>
                    <a:noFill/>
                    <a:ln w="9525">
                      <a:noFill/>
                      <a:headEnd/>
                      <a:tailEnd/>
                    </a:ln>
                  </pic:spPr>
                </pic:pic>
              </a:graphicData>
            </a:graphic>
          </wp:inline>
        </w:drawing>
      </w:r>
      <w:bookmarkEnd w:id="94"/>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6bbf51cc-d702-4ec0-89e2-11d0885075d8"/>
    <w:p>
      <w:pPr>
        <w:pStyle w:val="CaptionedFigure"/>
      </w:pPr>
      <w:bookmarkStart w:id="98" w:name="fig:"/>
      <w:r>
        <w:drawing>
          <wp:inline>
            <wp:extent cx="5486400" cy="2194560"/>
            <wp:effectExtent b="0" l="0" r="0" t="0"/>
            <wp:docPr descr="Imagen 10: Marcos de referencia aplicables a la arquitectura de información" title="" id="96" name="Picture"/>
            <a:graphic>
              <a:graphicData uri="http://schemas.openxmlformats.org/drawingml/2006/picture">
                <pic:pic>
                  <pic:nvPicPr>
                    <pic:cNvPr descr="images/datimage3.png" id="97" name="Picture"/>
                    <pic:cNvPicPr>
                      <a:picLocks noChangeArrowheads="1" noChangeAspect="1"/>
                    </pic:cNvPicPr>
                  </pic:nvPicPr>
                  <pic:blipFill>
                    <a:blip r:embed="rId95"/>
                    <a:stretch>
                      <a:fillRect/>
                    </a:stretch>
                  </pic:blipFill>
                  <pic:spPr bwMode="auto">
                    <a:xfrm>
                      <a:off x="0" y="0"/>
                      <a:ext cx="5486400" cy="2194560"/>
                    </a:xfrm>
                    <a:prstGeom prst="rect">
                      <a:avLst/>
                    </a:prstGeom>
                    <a:noFill/>
                    <a:ln w="9525">
                      <a:noFill/>
                      <a:headEnd/>
                      <a:tailEnd/>
                    </a:ln>
                  </pic:spPr>
                </pic:pic>
              </a:graphicData>
            </a:graphic>
          </wp:inline>
        </w:drawing>
      </w:r>
      <w:bookmarkEnd w:id="98"/>
    </w:p>
    <w:p>
      <w:pPr>
        <w:pStyle w:val="ImageCaption"/>
      </w:pPr>
      <w:r>
        <w:t xml:space="preserve">Imagen 10: Marcos de referencia aplicables a la arquitectura de información</w:t>
      </w:r>
    </w:p>
    <w:bookmarkEnd w:id="0"/>
    <w:bookmarkEnd w:id="99"/>
    <w:bookmarkStart w:id="100"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0"/>
    <w:bookmarkEnd w:id="101"/>
    <w:bookmarkStart w:id="10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3" name="Picture"/>
            <a:graphic>
              <a:graphicData uri="http://schemas.openxmlformats.org/drawingml/2006/picture">
                <pic:pic>
                  <pic:nvPicPr>
                    <pic:cNvPr descr="./images/infrimage1.png" id="104" name="Picture"/>
                    <pic:cNvPicPr>
                      <a:picLocks noChangeArrowheads="1" noChangeAspect="1"/>
                    </pic:cNvPicPr>
                  </pic:nvPicPr>
                  <pic:blipFill>
                    <a:blip r:embed="rId10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5"/>
    <w:bookmarkStart w:id="106"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06"/>
    <w:bookmarkEnd w:id="107"/>
    <w:bookmarkEnd w:id="108"/>
    <w:bookmarkStart w:id="11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2" w:name="fig:arqrefnegativa1.png"/>
      <w:r>
        <w:drawing>
          <wp:inline>
            <wp:extent cx="5486400" cy="2743200"/>
            <wp:effectExtent b="0" l="0" r="0" t="0"/>
            <wp:docPr descr="Imagen 11: Consideraciones de Diseño FNA. Acoplamiento y Dependencia al proveedor." title="" id="110" name="Picture"/>
            <a:graphic>
              <a:graphicData uri="http://schemas.openxmlformats.org/drawingml/2006/picture">
                <pic:pic>
                  <pic:nvPicPr>
                    <pic:cNvPr descr="images/arqrefnegativa1.png" id="111" name="Picture"/>
                    <pic:cNvPicPr>
                      <a:picLocks noChangeArrowheads="1" noChangeAspect="1"/>
                    </pic:cNvPicPr>
                  </pic:nvPicPr>
                  <pic:blipFill>
                    <a:blip r:embed="rId109"/>
                    <a:stretch>
                      <a:fillRect/>
                    </a:stretch>
                  </pic:blipFill>
                  <pic:spPr bwMode="auto">
                    <a:xfrm>
                      <a:off x="0" y="0"/>
                      <a:ext cx="5486400" cy="2743200"/>
                    </a:xfrm>
                    <a:prstGeom prst="rect">
                      <a:avLst/>
                    </a:prstGeom>
                    <a:noFill/>
                    <a:ln w="9525">
                      <a:noFill/>
                      <a:headEnd/>
                      <a:tailEnd/>
                    </a:ln>
                  </pic:spPr>
                </pic:pic>
              </a:graphicData>
            </a:graphic>
          </wp:inline>
        </w:drawing>
      </w:r>
      <w:bookmarkEnd w:id="112"/>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3"/>
    <w:bookmarkStart w:id="11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17"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5" name="Picture"/>
            <a:graphic>
              <a:graphicData uri="http://schemas.openxmlformats.org/drawingml/2006/picture">
                <pic:pic>
                  <pic:nvPicPr>
                    <pic:cNvPr descr="images/arqrefnegativa2.png" id="116" name="Picture"/>
                    <pic:cNvPicPr>
                      <a:picLocks noChangeArrowheads="1" noChangeAspect="1"/>
                    </pic:cNvPicPr>
                  </pic:nvPicPr>
                  <pic:blipFill>
                    <a:blip r:embed="rId114"/>
                    <a:stretch>
                      <a:fillRect/>
                    </a:stretch>
                  </pic:blipFill>
                  <pic:spPr bwMode="auto">
                    <a:xfrm>
                      <a:off x="0" y="0"/>
                      <a:ext cx="5486400" cy="2743200"/>
                    </a:xfrm>
                    <a:prstGeom prst="rect">
                      <a:avLst/>
                    </a:prstGeom>
                    <a:noFill/>
                    <a:ln w="9525">
                      <a:noFill/>
                      <a:headEnd/>
                      <a:tailEnd/>
                    </a:ln>
                  </pic:spPr>
                </pic:pic>
              </a:graphicData>
            </a:graphic>
          </wp:inline>
        </w:drawing>
      </w:r>
      <w:bookmarkEnd w:id="117"/>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18"/>
    <w:bookmarkEnd w:id="119"/>
    <w:bookmarkStart w:id="12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2"/>
        </w:numPr>
        <w:pStyle w:val="Compact"/>
      </w:pPr>
      <w:r>
        <w:t xml:space="preserve">Mejorar la estabilidad, el reintento la tolerancia a fallos y la disponibilidad de servicios SOA y los microservicios del Fondo Nacional mediante el uso de proxy</w:t>
      </w:r>
    </w:p>
    <w:p>
      <w:pPr>
        <w:numPr>
          <w:ilvl w:val="0"/>
          <w:numId w:val="1012"/>
        </w:numPr>
        <w:pStyle w:val="Compact"/>
      </w:pPr>
      <w:r>
        <w:t xml:space="preserve">Modernizar los mecanismos de orquestación de servicios con arreglo en el estilo de arquitectura de solución orientada a servicios y a eventos</w:t>
      </w:r>
    </w:p>
    <w:p>
      <w:pPr>
        <w:numPr>
          <w:ilvl w:val="0"/>
          <w:numId w:val="1012"/>
        </w:numPr>
        <w:pStyle w:val="Compact"/>
      </w:pPr>
      <w:r>
        <w:t xml:space="preserve">Independiza las acciones de escalabilidad, seguridad y monitoreo de servicios, de acuerdo con el estilo de arquitectura de solución orientada a servicios</w:t>
      </w:r>
    </w:p>
    <w:p>
      <w:pPr>
        <w:numPr>
          <w:ilvl w:val="0"/>
          <w:numId w:val="1012"/>
        </w:numPr>
        <w:pStyle w:val="Compact"/>
      </w:pPr>
      <w:r>
        <w:t xml:space="preserve">Persigue el esquema de operación de servicios orientados a la nube</w:t>
      </w:r>
    </w:p>
    <w:p>
      <w:pPr>
        <w:numPr>
          <w:ilvl w:val="0"/>
          <w:numId w:val="1012"/>
        </w:numPr>
        <w:pStyle w:val="Compact"/>
      </w:pPr>
      <w:r>
        <w:t xml:space="preserve">Tiene afinidad con el patrón de malla de servicios (service-mesh), Control Plan – Data Plane en la imagen</w:t>
      </w:r>
    </w:p>
    <w:p>
      <w:pPr>
        <w:numPr>
          <w:ilvl w:val="0"/>
          <w:numId w:val="1013"/>
        </w:numPr>
        <w:pStyle w:val="Compact"/>
      </w:pPr>
      <w:r>
        <w:t xml:space="preserve">Mejorar proceso de diseño y construcción de soluciones orientadas a servicios</w:t>
      </w:r>
    </w:p>
    <w:p>
      <w:pPr>
        <w:numPr>
          <w:ilvl w:val="0"/>
          <w:numId w:val="1013"/>
        </w:numPr>
        <w:pStyle w:val="Compact"/>
      </w:pPr>
      <w:r>
        <w:t xml:space="preserve">Optimizar el proceso de construcción de soluciones orientadas a servicios</w:t>
      </w:r>
    </w:p>
    <w:p>
      <w:pPr>
        <w:numPr>
          <w:ilvl w:val="0"/>
          <w:numId w:val="1013"/>
        </w:numPr>
        <w:pStyle w:val="Compact"/>
      </w:pPr>
      <w:r>
        <w:t xml:space="preserve">Unificar el proceso de construcción y ofrecer un lenguaje común con el negocio y entidades del sector</w:t>
      </w:r>
    </w:p>
    <w:p>
      <w:pPr>
        <w:numPr>
          <w:ilvl w:val="0"/>
          <w:numId w:val="1013"/>
        </w:numPr>
        <w:pStyle w:val="Compact"/>
      </w:pPr>
      <w:r>
        <w:t xml:space="preserve">Mejorar la oferta de servicios analíticos en el segmento del Fondo Nacional del Ahorro</w:t>
      </w:r>
    </w:p>
    <w:p>
      <w:pPr>
        <w:numPr>
          <w:ilvl w:val="0"/>
          <w:numId w:val="1013"/>
        </w:numPr>
        <w:pStyle w:val="Compact"/>
      </w:pPr>
      <w:r>
        <w:t xml:space="preserve">Incrementar el nivel de utilización de la Tecnología SOA del Fondo Nacional del Ahorro</w:t>
      </w:r>
    </w:p>
    <w:p>
      <w:pPr>
        <w:numPr>
          <w:ilvl w:val="0"/>
          <w:numId w:val="1013"/>
        </w:numPr>
        <w:pStyle w:val="Compact"/>
      </w:pPr>
      <w:r>
        <w:t xml:space="preserve">Soportar la ejecución (rediseño) de los procesos de negocio Fondo Nacional del Ahorro, guiados por la arquitectura 2.0</w:t>
      </w:r>
    </w:p>
    <w:p>
      <w:pPr>
        <w:numPr>
          <w:ilvl w:val="0"/>
          <w:numId w:val="1013"/>
        </w:numPr>
        <w:pStyle w:val="Compact"/>
      </w:pPr>
      <w:r>
        <w:t xml:space="preserve">Mejorar el tiempo de puesta en producción</w:t>
      </w:r>
    </w:p>
    <w:p>
      <w:pPr>
        <w:numPr>
          <w:ilvl w:val="0"/>
          <w:numId w:val="1013"/>
        </w:numPr>
        <w:pStyle w:val="Compact"/>
      </w:pPr>
      <w:r>
        <w:t xml:space="preserve">Modernizar las soluciones orientadas a servicios, mediante la gestión de tecnologías de arquitectura 2.0</w:t>
      </w:r>
    </w:p>
    <w:p>
      <w:pPr>
        <w:numPr>
          <w:ilvl w:val="0"/>
          <w:numId w:val="1013"/>
        </w:numPr>
        <w:pStyle w:val="Compact"/>
      </w:pPr>
      <w:r>
        <w:t xml:space="preserve">Gobierno y gestión de la tecnología orientada a servicios por la arquitectura 2.0</w:t>
      </w:r>
    </w:p>
    <w:p>
      <w:pPr>
        <w:numPr>
          <w:ilvl w:val="0"/>
          <w:numId w:val="1013"/>
        </w:numPr>
        <w:pStyle w:val="Compact"/>
      </w:pPr>
      <w:r>
        <w:t xml:space="preserve">Activar las herramientas de monitoreo de los servicios e indicadores de eficacia y desempeño de los procesos en el marco del Gobierno SOA</w:t>
      </w:r>
    </w:p>
    <w:p>
      <w:pPr>
        <w:numPr>
          <w:ilvl w:val="0"/>
          <w:numId w:val="1013"/>
        </w:numPr>
        <w:pStyle w:val="Compact"/>
      </w:pPr>
      <w:r>
        <w:t xml:space="preserve">Articulación y fortalecimiento del equipo de arquitectura del FNA junto a proveedores Institucionalizar oficina de arquitectura</w:t>
      </w:r>
    </w:p>
    <w:p>
      <w:pPr>
        <w:numPr>
          <w:ilvl w:val="0"/>
          <w:numId w:val="1013"/>
        </w:numPr>
        <w:pStyle w:val="Compact"/>
      </w:pPr>
      <w:r>
        <w:t xml:space="preserve">Estructurar equipo de arquitectos SOA, aplicaciones, TI y datos</w:t>
      </w:r>
    </w:p>
    <w:p>
      <w:pPr>
        <w:numPr>
          <w:ilvl w:val="0"/>
          <w:numId w:val="1013"/>
        </w:numPr>
        <w:pStyle w:val="Compact"/>
      </w:pPr>
      <w:r>
        <w:t xml:space="preserve">Monitoreo de los indicadores de eficacia del portafolio servicios del Fondo Nacional del Ahorro</w:t>
      </w:r>
    </w:p>
    <w:p>
      <w:pPr>
        <w:numPr>
          <w:ilvl w:val="0"/>
          <w:numId w:val="1013"/>
        </w:numPr>
        <w:pStyle w:val="Compact"/>
      </w:pPr>
      <w:r>
        <w:t xml:space="preserve">Mejorar indicadores de eficacia y madurez SOA. Indicadores de cobertura, alineación y flexibilidad de negocio</w:t>
      </w:r>
    </w:p>
    <w:p>
      <w:r>
        <w:br w:type="page"/>
      </w:r>
    </w:p>
    <w:bookmarkEnd w:id="120"/>
    <w:bookmarkEnd w:id="121"/>
    <w:bookmarkStart w:id="133" w:name="referencias"/>
    <w:p>
      <w:pPr>
        <w:pStyle w:val="Ttulo1"/>
      </w:pPr>
      <w:r>
        <w:t xml:space="preserve">Referencias</w:t>
      </w:r>
    </w:p>
    <w:bookmarkStart w:id="13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3"/>
    <w:bookmarkStart w:id="12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4"/>
    <w:bookmarkStart w:id="12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5"/>
    <w:bookmarkStart w:id="12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6">
        <w:r>
          <w:rPr>
            <w:rStyle w:val="Hipervnculo"/>
          </w:rPr>
          <w:t xml:space="preserve">https://pubs.opengroup.org/architecture/togaf9-doc/arch/chap27.html</w:t>
        </w:r>
      </w:hyperlink>
    </w:p>
    <w:bookmarkEnd w:id="127"/>
    <w:bookmarkStart w:id="12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6">
        <w:r>
          <w:rPr>
            <w:rStyle w:val="Hipervnculo"/>
          </w:rPr>
          <w:t xml:space="preserve">https://pubs.opengroup.org/architecture/togaf9-doc/arch/chap27.html</w:t>
        </w:r>
      </w:hyperlink>
    </w:p>
    <w:bookmarkEnd w:id="128"/>
    <w:bookmarkStart w:id="13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9">
        <w:r>
          <w:rPr>
            <w:rStyle w:val="Hipervnculo"/>
          </w:rPr>
          <w:t xml:space="preserve">https://hwong23.github.io/fna-dd-f2-e1/</w:t>
        </w:r>
      </w:hyperlink>
    </w:p>
    <w:bookmarkEnd w:id="130"/>
    <w:bookmarkStart w:id="13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9">
        <w:r>
          <w:rPr>
            <w:rStyle w:val="Hipervnculo"/>
          </w:rPr>
          <w:t xml:space="preserve">https://hwong23.github.io/fna-dd-f2-e1/</w:t>
        </w:r>
      </w:hyperlink>
    </w:p>
    <w:bookmarkEnd w:id="131"/>
    <w:bookmarkEnd w:id="132"/>
    <w:bookmarkEnd w:id="1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2" Target="media/rId102.png" /><Relationship Type="http://schemas.openxmlformats.org/officeDocument/2006/relationships/image" Id="rId74" Target="media/rId74.png" /><Relationship Type="http://schemas.openxmlformats.org/officeDocument/2006/relationships/image" Id="rId69" Target="media/rId69.png" /><Relationship Type="http://schemas.openxmlformats.org/officeDocument/2006/relationships/image" Id="rId79" Target="media/rId79.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f47c79f656a5762c94ce4730a5f2b06763c99ce2/"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f47c79f656a5762c94ce4730a5f2b06763c99ce2/"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2023-08-02T17:12:51Z</dcterms:created>
  <dcterms:modified xsi:type="dcterms:W3CDTF">2023-08-02T17:12:51Z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