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46.png" ContentType="image/png"/>
  <Override PartName="/word/media/rId101.png" ContentType="image/png"/>
  <Override PartName="/word/media/rId106.png" ContentType="image/png"/>
  <Override PartName="/word/media/rId111.png" ContentType="image/png"/>
  <Override PartName="/word/media/rId116.png" ContentType="image/png"/>
  <Override PartName="/word/media/rId93.png" ContentType="image/png"/>
  <Override PartName="/word/media/rId82.png" ContentType="image/png"/>
  <Override PartName="/word/media/rId77.png" ContentType="image/png"/>
  <Override PartName="/word/media/rId87.png" ContentType="image/png"/>
  <Override PartName="/word/media/rId153.png" ContentType="image/png"/>
  <Override PartName="/word/media/rId158.png" ContentType="image/png"/>
  <Override PartName="/word/media/rId130.png" ContentType="image/png"/>
  <Override PartName="/word/media/rId135.png" ContentType="image/png"/>
  <Override PartName="/word/media/rId139.png" ContentType="image/png"/>
  <Override PartName="/word/media/rId50.png" ContentType="image/png"/>
  <Override PartName="/word/media/rId54.png" ContentType="image/png"/>
  <Override PartName="/word/media/rId44.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STEF@fdeba74</w:t>
        </w:r>
      </w:hyperlink>
      <w:r>
        <w:t xml:space="preserve"> </w:t>
      </w:r>
      <w:r>
        <w:t xml:space="preserve">del August 9, 2023.</w:t>
      </w:r>
      <w:r>
        <w:t xml:space="preserve"> </w:t>
      </w:r>
    </w:p>
    <w:p>
      <w:pPr>
        <w:pStyle w:val="Textoindependiente"/>
      </w:pPr>
      <w:r>
        <w:t xml:space="preserve">   </w:t>
      </w:r>
      <w:r>
        <w:rPr>
          <w:bCs/>
          <w:b/>
        </w:rPr>
        <w:t xml:space="preserve">Versión</w:t>
      </w:r>
      <w:r>
        <w:t xml:space="preserve"> </w:t>
      </w:r>
      <w:r>
        <w:t xml:space="preserve">del producto 1.fdeba74 de 09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Andres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scastro</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1.fdeba74 del 09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09 Aug 2023</w:t>
      </w:r>
    </w:p>
    <w:p>
      <w:pPr>
        <w:pStyle w:val="Textodebloque"/>
      </w:pPr>
      <w:r>
        <w:rPr>
          <w:bCs/>
          <w:b/>
        </w:rPr>
        <w:t xml:space="preserve">Versión</w:t>
      </w:r>
      <w:r>
        <w:t xml:space="preserve"> </w:t>
      </w:r>
      <w:r>
        <w:t xml:space="preserve">1.fdeba74</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En el proyecto anterior, Gobierno SOA del FNA (Proyecto 1, E-Service, Fase II) se establecen objetivos de gobierno: Mantenimiento de Relación Negocio - Arquitectura (G-OBJG1), y Seguimiento a cambios en la arquitectura de referencia (G-OBJS3). Esto demanda mantenibilidad de la arquitectura de referencia, que a su vez esta es responsable de 1) dirigir y evolucionar las soluciones tecnológica del FNA. Demanda también 2) orientar el diseño de estas arquitecturas, y 3) ser el instrumento de control con el cual hacer cumplir los principios de diseño de servicios SOA del FNA y del Manual de Gobierno. Para lograr estos objetivos y responsabilidades exigidas por gobierno, es necesario que desde este proyecto, PRY02. Arquitectura de Referencia SOA 2.0 del FNA,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2"/>
    <w:p>
      <w:pPr>
        <w:pStyle w:val="Ttulo2"/>
      </w:pPr>
      <w:r>
        <w:t xml:space="preserve">Modelo de Implementación del PRY02</w:t>
      </w:r>
    </w:p>
    <w:bookmarkStart w:id="0" w:name="fig:41022d45-293c-4110-8da9-fc289ff42f47"/>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1.fdeba74</w:t>
            </w:r>
            <w:r>
              <w:t xml:space="preserve"> </w:t>
            </w:r>
            <w:r>
              <w:t xml:space="preserve">del 09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af7f7e228a12f512674746ca5116ea4a294f7a4"/>
    <w:p>
      <w:pPr>
        <w:pStyle w:val="Ttulo1"/>
      </w:pPr>
      <w:r>
        <w:t xml:space="preserve">Definición de Arquitectura de Referencias del FNA</w:t>
      </w:r>
    </w:p>
    <w:p>
      <w:pPr>
        <w:pStyle w:val="FirstParagraph"/>
      </w:pPr>
      <w:r>
        <w:t xml:space="preserve">Definiremos lo que en el contexto de este trabajo significa el concepto de arquitectura de referencia SOA 2.0 del FNA, y para qué sirve.</w:t>
      </w:r>
    </w:p>
    <w:p>
      <w:pPr>
        <w:pStyle w:val="Textoindependiente"/>
      </w:pPr>
      <w:r>
        <w:t xml:space="preserve">En lo general, la arquitectura de referencia del FNA (ARF, en adelante), objeto de este proyecto, es un instrumento para la toma de decisiones de cambios, similar a un mapa, tanto en la organización, funcionamiento, modernización y optimización de los sistemas de información del FNA o de componentes primordiales de estos.</w:t>
      </w:r>
      <w:r>
        <w:t xml:space="preserve"> </w:t>
      </w:r>
      <w:r>
        <w:rPr>
          <w:iCs/>
          <w:i/>
        </w:rPr>
        <w:t xml:space="preserve">Esta último parte es importante: en este contexto, la arquitectura de referencia, distinta de un diseño de solución, no opera sobre artefactos ejecutables específicos de solución</w:t>
      </w:r>
      <w:r>
        <w:t xml:space="preserve"> </w:t>
      </w:r>
      <w:r>
        <w:t xml:space="preserve">(bloques de solución específicos o CBB de TOGAF), sino que lo hace sobre componentes misionales y funcionales del FNA sustentados con</w:t>
      </w:r>
      <w:r>
        <w:t xml:space="preserve"> </w:t>
      </w:r>
      <w:r>
        <w:rPr>
          <w:iCs/>
          <w:i/>
        </w:rPr>
        <w:t xml:space="preserve">decisiones de arquitectura</w:t>
      </w:r>
      <w:r>
        <w:t xml:space="preserve"> </w:t>
      </w:r>
      <w:r>
        <w:t xml:space="preserve">rectoras de la implementación.</w:t>
      </w:r>
    </w:p>
    <w:p>
      <w:pPr>
        <w:pStyle w:val="SourceCode"/>
      </w:pPr>
      <w:r>
        <w:rPr>
          <w:rStyle w:val="VerbatimChar"/>
        </w:rPr>
        <w:t xml:space="preserve">Importante. La arquitectura de referencia, distinta de un diseño de solución, no opera en artefactos ejecutables específicos_, sino que opera sobre componentes funcionales del FNA y se materializa mediante decisiones de arquitectura anteriores a la implementación.</w:t>
      </w:r>
    </w:p>
    <w:p>
      <w:pPr>
        <w:pStyle w:val="FirstParagraph"/>
      </w:pPr>
      <w:r>
        <w:t xml:space="preserve">Las arquitecturas de referencia del FNA (ARF) están formadas por componentes y estructuras funcionales y tecnológicas, integraciones y colaboración de datos y productos, y de servicios SOA a nivel de negocio. En virtud de esto, sirve de instrumento para el soporte de decisiones futuras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En lo particular, este instrumento tecnológico se vuelve necesario para el FNA para dirigir los cambios de los servicios SOA del FNA hacia diseños y tecnologías del plano de referencia del caso que sea, ejemplo, microservicios, REST, API, infraestructura, Nube, etc., y favorece la adopción del</w:t>
      </w:r>
      <w:r>
        <w:t xml:space="preserve"> </w:t>
      </w:r>
      <w:r>
        <w:rPr>
          <w:iCs/>
          <w:i/>
        </w:rPr>
        <w:t xml:space="preserve">estilo de arquitectura orientado a eventos</w:t>
      </w:r>
      <w:r>
        <w:t xml:space="preserve"> </w:t>
      </w:r>
      <w:r>
        <w:t xml:space="preserve">resultante de los diagnósticos anteriores (</w:t>
      </w:r>
      <w:r>
        <w:t xml:space="preserve">[</w:t>
      </w:r>
      <w:hyperlink w:anchor="ref-19ZPD5YjC">
        <w:r>
          <w:rPr>
            <w:rStyle w:val="Hipervnculo"/>
          </w:rPr>
          <w:t xml:space="preserve">1</w:t>
        </w:r>
      </w:hyperlink>
      <w:r>
        <w:t xml:space="preserve">]</w:t>
      </w:r>
      <w:r>
        <w:t xml:space="preserve"> </w:t>
      </w:r>
      <w:r>
        <w:t xml:space="preserve">y</w:t>
      </w:r>
      <w:r>
        <w:t xml:space="preserve"> </w:t>
      </w:r>
      <w:r>
        <w:t xml:space="preserve">[</w:t>
      </w:r>
      <w:hyperlink w:anchor="ref-hQTPO0iI">
        <w:r>
          <w:rPr>
            <w:rStyle w:val="Hipervnculo"/>
          </w:rPr>
          <w:t xml:space="preserve">2</w:t>
        </w:r>
      </w:hyperlink>
      <w:r>
        <w:t xml:space="preserve">]</w:t>
      </w:r>
      <w:r>
        <w:t xml:space="preserve">) para atender las funcionalidades y necesidades de negocio, con prioridad en las de la vicepresidencia de operaciones y de crédito FNA.</w:t>
      </w:r>
    </w:p>
    <w:p>
      <w:pPr>
        <w:pStyle w:val="Textoindependiente"/>
      </w:pPr>
      <w:r>
        <w:t xml:space="preserve">En este producto del proyecto definiremos la línea base de estas arquitecturas de referencia del FNA, a las que podemos llamar 2.0.</w:t>
      </w:r>
    </w:p>
    <w:p>
      <w:pPr>
        <w:pStyle w:val="Textoindependiente"/>
      </w:pPr>
    </w:p>
    <w:bookmarkEnd w:id="43"/>
    <w:bookmarkStart w:id="48"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Start w:id="0" w:name="fig:procesosarq.png"/>
    <w:p>
      <w:pPr>
        <w:pStyle w:val="CaptionedFigure"/>
      </w:pPr>
      <w:bookmarkStart w:id="47" w:name="fig:procesosarq.png"/>
      <w:r>
        <w:drawing>
          <wp:inline>
            <wp:extent cx="5600700" cy="3900354"/>
            <wp:effectExtent b="0" l="0" r="0" t="0"/>
            <wp:docPr descr="Imagen 2: Proceso de gobierno de arquitecturas. Adaptado FNA." title="" id="45" name="Picture"/>
            <a:graphic>
              <a:graphicData uri="http://schemas.openxmlformats.org/drawingml/2006/picture">
                <pic:pic>
                  <pic:nvPicPr>
                    <pic:cNvPr descr="images/procesosarq.png" id="46" name="Picture"/>
                    <pic:cNvPicPr>
                      <a:picLocks noChangeArrowheads="1" noChangeAspect="1"/>
                    </pic:cNvPicPr>
                  </pic:nvPicPr>
                  <pic:blipFill>
                    <a:blip r:embed="rId44"/>
                    <a:stretch>
                      <a:fillRect/>
                    </a:stretch>
                  </pic:blipFill>
                  <pic:spPr bwMode="auto">
                    <a:xfrm>
                      <a:off x="0" y="0"/>
                      <a:ext cx="5600700" cy="3900354"/>
                    </a:xfrm>
                    <a:prstGeom prst="rect">
                      <a:avLst/>
                    </a:prstGeom>
                    <a:noFill/>
                    <a:ln w="9525">
                      <a:noFill/>
                      <a:headEnd/>
                      <a:tailEnd/>
                    </a:ln>
                  </pic:spPr>
                </pic:pic>
              </a:graphicData>
            </a:graphic>
          </wp:inline>
        </w:drawing>
      </w:r>
      <w:bookmarkEnd w:id="47"/>
    </w:p>
    <w:p>
      <w:pPr>
        <w:pStyle w:val="ImageCaption"/>
      </w:pPr>
      <w:r>
        <w:t xml:space="preserve">Imagen 2: Proceso de gobierno de arquitecturas. Adaptado FNA.</w:t>
      </w:r>
    </w:p>
    <w:bookmarkEnd w:id="0"/>
    <w:p>
      <w:pPr>
        <w:pStyle w:val="Textoindependiente"/>
      </w:pPr>
    </w:p>
    <w:bookmarkEnd w:id="48"/>
    <w:bookmarkStart w:id="63"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9">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67bab36c-5e00-4fde-bc64-13a8fbc7453f"/>
    <w:p>
      <w:pPr>
        <w:pStyle w:val="CaptionedFigure"/>
      </w:pPr>
      <w:bookmarkStart w:id="53" w:name="fig:"/>
      <w:r>
        <w:drawing>
          <wp:inline>
            <wp:extent cx="5600700" cy="4878524"/>
            <wp:effectExtent b="0" l="0" r="0" t="0"/>
            <wp:docPr descr="Imagen 3: FLARQ03. Flujo de Trabajo de nivel 1 del FNA para el mantenimiento de las arquitecturas de referencia" title="" id="51" name="Picture"/>
            <a:graphic>
              <a:graphicData uri="http://schemas.openxmlformats.org/drawingml/2006/picture">
                <pic:pic>
                  <pic:nvPicPr>
                    <pic:cNvPr descr="images/flujoarqref1.png" id="52" name="Picture"/>
                    <pic:cNvPicPr>
                      <a:picLocks noChangeArrowheads="1" noChangeAspect="1"/>
                    </pic:cNvPicPr>
                  </pic:nvPicPr>
                  <pic:blipFill>
                    <a:blip r:embed="rId50"/>
                    <a:stretch>
                      <a:fillRect/>
                    </a:stretch>
                  </pic:blipFill>
                  <pic:spPr bwMode="auto">
                    <a:xfrm>
                      <a:off x="0" y="0"/>
                      <a:ext cx="5600700" cy="4878524"/>
                    </a:xfrm>
                    <a:prstGeom prst="rect">
                      <a:avLst/>
                    </a:prstGeom>
                    <a:noFill/>
                    <a:ln w="9525">
                      <a:noFill/>
                      <a:headEnd/>
                      <a:tailEnd/>
                    </a:ln>
                  </pic:spPr>
                </pic:pic>
              </a:graphicData>
            </a:graphic>
          </wp:inline>
        </w:drawing>
      </w:r>
      <w:bookmarkEnd w:id="53"/>
    </w:p>
    <w:p>
      <w:pPr>
        <w:pStyle w:val="ImageCaption"/>
      </w:pPr>
      <w:r>
        <w:t xml:space="preserve">Imagen 3: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441be79e-d0c8-451b-b976-dae6d879ecb1"/>
    <w:p>
      <w:pPr>
        <w:pStyle w:val="CaptionedFigure"/>
      </w:pPr>
      <w:bookmarkStart w:id="57" w:name="fig:"/>
      <w:r>
        <w:drawing>
          <wp:inline>
            <wp:extent cx="5600700" cy="4573557"/>
            <wp:effectExtent b="0" l="0" r="0" t="0"/>
            <wp:docPr descr="Imagen 4: FLARQ03. Estructura interna del flujo de trabajo FNA para el mantenimiento de las arquitecturas de referencia" title="" id="55" name="Picture"/>
            <a:graphic>
              <a:graphicData uri="http://schemas.openxmlformats.org/drawingml/2006/picture">
                <pic:pic>
                  <pic:nvPicPr>
                    <pic:cNvPr descr="images/flujoarqref2.png" id="56" name="Picture"/>
                    <pic:cNvPicPr>
                      <a:picLocks noChangeArrowheads="1" noChangeAspect="1"/>
                    </pic:cNvPicPr>
                  </pic:nvPicPr>
                  <pic:blipFill>
                    <a:blip r:embed="rId54"/>
                    <a:stretch>
                      <a:fillRect/>
                    </a:stretch>
                  </pic:blipFill>
                  <pic:spPr bwMode="auto">
                    <a:xfrm>
                      <a:off x="0" y="0"/>
                      <a:ext cx="5600700" cy="4573557"/>
                    </a:xfrm>
                    <a:prstGeom prst="rect">
                      <a:avLst/>
                    </a:prstGeom>
                    <a:noFill/>
                    <a:ln w="9525">
                      <a:noFill/>
                      <a:headEnd/>
                      <a:tailEnd/>
                    </a:ln>
                  </pic:spPr>
                </pic:pic>
              </a:graphicData>
            </a:graphic>
          </wp:inline>
        </w:drawing>
      </w:r>
      <w:bookmarkEnd w:id="57"/>
    </w:p>
    <w:p>
      <w:pPr>
        <w:pStyle w:val="ImageCaption"/>
      </w:pPr>
      <w:r>
        <w:t xml:space="preserve">Imagen 4: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8"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8"/>
    <w:bookmarkStart w:id="62"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9"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9"/>
    <w:bookmarkStart w:id="61"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60"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60"/>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1.fdeba74</w:t>
            </w:r>
            <w:r>
              <w:t xml:space="preserve"> </w:t>
            </w:r>
            <w:r>
              <w:t xml:space="preserve">del 09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1"/>
    <w:bookmarkEnd w:id="62"/>
    <w:bookmarkEnd w:id="63"/>
    <w:bookmarkStart w:id="64"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1.fdeba74</w:t>
            </w:r>
            <w:r>
              <w:t xml:space="preserve"> </w:t>
            </w:r>
            <w:r>
              <w:t xml:space="preserve">del 09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4"/>
    <w:bookmarkStart w:id="65"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5"/>
    <w:bookmarkStart w:id="68"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67"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9"/>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9"/>
        </w:numPr>
        <w:pStyle w:val="Compact"/>
      </w:pPr>
      <w:r>
        <w:t xml:space="preserve">Arquitecto SOA FNA. Representa al personal involucrado con la oficina de arquitectura del FNA.</w:t>
      </w:r>
    </w:p>
    <w:p>
      <w:pPr>
        <w:numPr>
          <w:ilvl w:val="0"/>
          <w:numId w:val="1009"/>
        </w:numPr>
        <w:pStyle w:val="Compact"/>
      </w:pPr>
      <w:r>
        <w:t xml:space="preserve">Arquitecto Solución. Representa al personal involucrado con la oficina de arquitectura del FNA.</w:t>
      </w:r>
    </w:p>
    <w:p>
      <w:pPr>
        <w:numPr>
          <w:ilvl w:val="0"/>
          <w:numId w:val="1009"/>
        </w:numPr>
        <w:pStyle w:val="Compact"/>
      </w:pPr>
      <w:r>
        <w:t xml:space="preserve">Ingeniería FNA. Representa al personal involucrado con las áreas del desarrollo de soluciones de software y sistemas de información del FNA.</w:t>
      </w:r>
    </w:p>
    <w:p>
      <w:pPr>
        <w:pStyle w:val="FirstParagraph"/>
      </w:pPr>
    </w:p>
    <w:p>
      <w:pPr>
        <w:pStyle w:val="Textoindependiente"/>
      </w:pPr>
      <w:r>
        <w:t xml:space="preserve">Las responsabilidades de estos roles están descritas como sigue</w:t>
      </w:r>
    </w:p>
    <w:bookmarkStart w:id="0" w:name="tbl:rolresp-id"/>
    <w:bookmarkStart w:id="66"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6"/>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09 Aug 2023</w:t>
      </w:r>
    </w:p>
    <w:p>
      <w:pPr>
        <w:pStyle w:val="Textodebloque"/>
      </w:pPr>
      <w:r>
        <w:rPr>
          <w:bCs/>
          <w:b/>
        </w:rPr>
        <w:t xml:space="preserve">Versión</w:t>
      </w:r>
      <w:r>
        <w:t xml:space="preserve"> </w:t>
      </w:r>
      <w:r>
        <w:t xml:space="preserve">1.fdeba74</w:t>
      </w:r>
    </w:p>
    <w:p>
      <w:pPr>
        <w:pStyle w:val="FirstParagraph"/>
      </w:pPr>
    </w:p>
    <w:bookmarkEnd w:id="67"/>
    <w:bookmarkEnd w:id="68"/>
    <w:bookmarkStart w:id="76"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En virtud de esto se da el soporte de futuras decisiones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9"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9"/>
    <w:bookmarkStart w:id="70" w:name="contenidos-2"/>
    <w:p>
      <w:pPr>
        <w:pStyle w:val="Ttulo2"/>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 del FNA</w:t>
      </w:r>
    </w:p>
    <w:p>
      <w:pPr>
        <w:numPr>
          <w:ilvl w:val="0"/>
          <w:numId w:val="1010"/>
        </w:numPr>
        <w:pStyle w:val="Compact"/>
      </w:pPr>
      <w:r>
        <w:t xml:space="preserve">Vistas lógicas y conceptuales de las arquitecturas de referencia del FNA</w:t>
      </w:r>
    </w:p>
    <w:p>
      <w:pPr>
        <w:numPr>
          <w:ilvl w:val="0"/>
          <w:numId w:val="1010"/>
        </w:numPr>
        <w:pStyle w:val="Compact"/>
      </w:pPr>
      <w:r>
        <w:t xml:space="preserve">Documentación técnica 0.1 de la Arquitectura de Referencia 2.0 del FNA</w:t>
      </w:r>
    </w:p>
    <w:p>
      <w:pPr>
        <w:pStyle w:val="FirstParagraph"/>
      </w:pPr>
    </w:p>
    <w:bookmarkEnd w:id="70"/>
    <w:bookmarkStart w:id="71" w:name="criterios-de-aceptación-1"/>
    <w:p>
      <w:pPr>
        <w:pStyle w:val="Ttulo2"/>
      </w:pPr>
      <w:r>
        <w:t xml:space="preserve">Criterios de Aceptación</w:t>
      </w:r>
    </w:p>
    <w:p>
      <w:pPr>
        <w:numPr>
          <w:ilvl w:val="0"/>
          <w:numId w:val="1011"/>
        </w:numPr>
        <w:pStyle w:val="Compact"/>
      </w:pPr>
      <w:r>
        <w:t xml:space="preserve">Entendimiento de las vistas lógicas y conceptuales de las arquitecturas de referencia del FNA</w:t>
      </w:r>
    </w:p>
    <w:p>
      <w:pPr>
        <w:numPr>
          <w:ilvl w:val="0"/>
          <w:numId w:val="1011"/>
        </w:numPr>
        <w:pStyle w:val="Compact"/>
      </w:pPr>
      <w:r>
        <w:t xml:space="preserve">Entendimiento de los procedimientos para creación y mantenimiento de las arquitecturas de referencia del FNA</w:t>
      </w:r>
    </w:p>
    <w:p>
      <w:pPr>
        <w:numPr>
          <w:ilvl w:val="0"/>
          <w:numId w:val="1011"/>
        </w:numPr>
        <w:pStyle w:val="Compact"/>
      </w:pPr>
      <w:r>
        <w:t xml:space="preserve">Entendimiento de las consideraciones para la implementación de las arquitecturas de referencia del FNA</w:t>
      </w:r>
    </w:p>
    <w:p>
      <w:pPr>
        <w:pStyle w:val="FirstParagraph"/>
      </w:pPr>
    </w:p>
    <w:bookmarkEnd w:id="71"/>
    <w:bookmarkStart w:id="75" w:name="modelo-de-implementación-del-pry02-1"/>
    <w:p>
      <w:pPr>
        <w:pStyle w:val="Ttulo2"/>
      </w:pPr>
      <w:r>
        <w:t xml:space="preserve">Modelo de Implementación del PRY02</w:t>
      </w:r>
    </w:p>
    <w:bookmarkStart w:id="0" w:name="fig:f8ae2255-3a9b-458d-9293-748fdfe86c68"/>
    <w:p>
      <w:pPr>
        <w:pStyle w:val="CaptionedFigure"/>
      </w:pPr>
      <w:bookmarkStart w:id="74" w:name="fig:"/>
      <w:r>
        <w:drawing>
          <wp:inline>
            <wp:extent cx="5600700" cy="4264411"/>
            <wp:effectExtent b="0" l="0" r="0" t="0"/>
            <wp:docPr descr="Imagen 5: Plan de Implementación del Proyecto Hoja de Ruta E-Service FNA, 2023. Abril 2023 a Agosto 2023" title="" id="72" name="Picture"/>
            <a:graphic>
              <a:graphicData uri="http://schemas.openxmlformats.org/drawingml/2006/picture">
                <pic:pic>
                  <pic:nvPicPr>
                    <pic:cNvPr descr="images/pry2.png" id="73"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74"/>
    </w:p>
    <w:p>
      <w:pPr>
        <w:pStyle w:val="ImageCaption"/>
      </w:pPr>
      <w:r>
        <w:t xml:space="preserve">Imagen 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1.fdeba74</w:t>
            </w:r>
            <w:r>
              <w:t xml:space="preserve"> </w:t>
            </w:r>
            <w:r>
              <w:t xml:space="preserve">del 09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5"/>
    <w:bookmarkEnd w:id="76"/>
    <w:bookmarkStart w:id="152"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la misma que implica a las problemáticas diagnosticadas en Fase I</w:t>
      </w:r>
      <w:r>
        <w:t xml:space="preserve"> </w:t>
      </w:r>
      <w:r>
        <w:t xml:space="preserve">[</w:t>
      </w:r>
      <w:hyperlink w:anchor="ref-19ZPD5YjC">
        <w:r>
          <w:rPr>
            <w:rStyle w:val="Hipervnculo"/>
          </w:rPr>
          <w:t xml:space="preserve">1</w:t>
        </w:r>
      </w:hyperlink>
      <w:r>
        <w:t xml:space="preserve">]</w:t>
      </w:r>
      <w:r>
        <w:t xml:space="preserve"> </w:t>
      </w:r>
      <w:r>
        <w:t xml:space="preserve">(ver Resumen de problemas diagnosticados, E-Service, Fase I, 2022 en</w:t>
      </w:r>
      <w:r>
        <w:t xml:space="preserve"> </w:t>
      </w:r>
      <w:r>
        <w:t xml:space="preserve">[</w:t>
      </w:r>
      <w:hyperlink w:anchor="ref-l0mriBft">
        <w:r>
          <w:rPr>
            <w:rStyle w:val="Hipervnculo"/>
          </w:rPr>
          <w:t xml:space="preserve">3</w:t>
        </w:r>
      </w:hyperlink>
      <w:r>
        <w:t xml:space="preserve">]</w:t>
      </w:r>
      <w:r>
        <w:t xml:space="preserve">). Sobre este plano realizaremos luego las propuestas de las vistas funcionales que fungen como arquitecturas de referencia en tanto que proyectan el entendimiento funcional destino útil para enfrentar dichas problemáticas planteadas en</w:t>
      </w:r>
      <w:r>
        <w:t xml:space="preserve"> </w:t>
      </w:r>
      <w:r>
        <w:t xml:space="preserve">[</w:t>
      </w:r>
      <w:hyperlink w:anchor="ref-19ZPD5YjC">
        <w:r>
          <w:rPr>
            <w:rStyle w:val="Hipervnculo"/>
          </w:rPr>
          <w:t xml:space="preserve">1</w:t>
        </w:r>
      </w:hyperlink>
      <w:r>
        <w:t xml:space="preserve">]</w:t>
      </w:r>
      <w:r>
        <w:t xml:space="preserve">, eservices3-22 y</w:t>
      </w:r>
      <w:r>
        <w:t xml:space="preserve"> </w:t>
      </w:r>
      <w:r>
        <w:t xml:space="preserve">[</w:t>
      </w:r>
      <w:hyperlink w:anchor="ref-l0mriBft">
        <w:r>
          <w:rPr>
            <w:rStyle w:val="Hipervnculo"/>
          </w:rPr>
          <w:t xml:space="preserve">3</w:t>
        </w:r>
      </w:hyperlink>
      <w:r>
        <w:t xml:space="preserve">]</w:t>
      </w:r>
      <w:r>
        <w:t xml:space="preserve">, y que se resumen en las siguientes.</w:t>
      </w:r>
    </w:p>
    <w:p>
      <w:pPr>
        <w:numPr>
          <w:ilvl w:val="0"/>
          <w:numId w:val="1012"/>
        </w:numPr>
        <w:pStyle w:val="Compact"/>
      </w:pPr>
      <w:r>
        <w:t xml:space="preserve">Dependencia de proveedor (OBJ1)</w:t>
      </w:r>
    </w:p>
    <w:p>
      <w:pPr>
        <w:numPr>
          <w:ilvl w:val="0"/>
          <w:numId w:val="1012"/>
        </w:numPr>
        <w:pStyle w:val="Compact"/>
      </w:pPr>
      <w:r>
        <w:t xml:space="preserve">Fortaleza SOA de las aplicaciones (OBJ2)</w:t>
      </w:r>
    </w:p>
    <w:p>
      <w:pPr>
        <w:numPr>
          <w:ilvl w:val="0"/>
          <w:numId w:val="1012"/>
        </w:numPr>
        <w:pStyle w:val="Compact"/>
      </w:pPr>
      <w:r>
        <w:t xml:space="preserve">Tiempo de mercado (OBJ3)</w:t>
      </w:r>
    </w:p>
    <w:p>
      <w:pPr>
        <w:pStyle w:val="FirstParagraph"/>
      </w:pPr>
      <w:r>
        <w:rPr>
          <w:iCs/>
          <w:i/>
        </w:rPr>
        <w:t xml:space="preserve">Fuente: E-Service, Fase I (2022).</w:t>
      </w:r>
    </w:p>
    <w:bookmarkStart w:id="100" w:name="dominio-de-servicios-y-aplicaciones-fna"/>
    <w:p>
      <w:pPr>
        <w:pStyle w:val="Ttulo2"/>
      </w:pPr>
      <w:r>
        <w:t xml:space="preserve">Dominio de Servicios y Aplicaciones FNA</w:t>
      </w:r>
    </w:p>
    <w:bookmarkStart w:id="81"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arqimage1.png"/>
    <w:p>
      <w:pPr>
        <w:pStyle w:val="CaptionedFigure"/>
      </w:pPr>
      <w:bookmarkStart w:id="80" w:name="fig:arqimage1.png"/>
      <w:r>
        <w:drawing>
          <wp:inline>
            <wp:extent cx="5600700" cy="3267074"/>
            <wp:effectExtent b="0" l="0" r="0" t="0"/>
            <wp:docPr descr="Imagen 6: Fondo Nacional del Ahorro - Vista general de arquitectura actual" title="" id="78" name="Picture"/>
            <a:graphic>
              <a:graphicData uri="http://schemas.openxmlformats.org/drawingml/2006/picture">
                <pic:pic>
                  <pic:nvPicPr>
                    <pic:cNvPr descr="images/arqimage1.png" id="79" name="Picture"/>
                    <pic:cNvPicPr>
                      <a:picLocks noChangeArrowheads="1" noChangeAspect="1"/>
                    </pic:cNvPicPr>
                  </pic:nvPicPr>
                  <pic:blipFill>
                    <a:blip r:embed="rId77"/>
                    <a:stretch>
                      <a:fillRect/>
                    </a:stretch>
                  </pic:blipFill>
                  <pic:spPr bwMode="auto">
                    <a:xfrm>
                      <a:off x="0" y="0"/>
                      <a:ext cx="5600700" cy="3267074"/>
                    </a:xfrm>
                    <a:prstGeom prst="rect">
                      <a:avLst/>
                    </a:prstGeom>
                    <a:noFill/>
                    <a:ln w="9525">
                      <a:noFill/>
                      <a:headEnd/>
                      <a:tailEnd/>
                    </a:ln>
                  </pic:spPr>
                </pic:pic>
              </a:graphicData>
            </a:graphic>
          </wp:inline>
        </w:drawing>
      </w:r>
      <w:bookmarkEnd w:id="80"/>
    </w:p>
    <w:p>
      <w:pPr>
        <w:pStyle w:val="ImageCaption"/>
      </w:pPr>
      <w:r>
        <w:t xml:space="preserve">Imagen 6: Fondo Nacional del Ahorro - Vista general de arquitectura actual</w:t>
      </w:r>
    </w:p>
    <w:bookmarkEnd w:id="0"/>
    <w:p>
      <w:pPr>
        <w:pStyle w:val="Textoindependiente"/>
      </w:pPr>
    </w:p>
    <w:bookmarkEnd w:id="81"/>
    <w:bookmarkStart w:id="92"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6"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arqimage1.1.png"/>
    <w:p>
      <w:pPr>
        <w:pStyle w:val="CaptionedFigure"/>
      </w:pPr>
      <w:bookmarkStart w:id="85" w:name="fig:arqimage1.1.png"/>
      <w:r>
        <w:drawing>
          <wp:inline>
            <wp:extent cx="5600700" cy="3015761"/>
            <wp:effectExtent b="0" l="0" r="0" t="0"/>
            <wp:docPr descr="Imagen 7: Fondo Nacional del Ahorro - Vista general de arquitectura de referencia. Nivel de detalle 1. Separación de segmentos de la arquitectura de referencia del FNA." title="" id="83" name="Picture"/>
            <a:graphic>
              <a:graphicData uri="http://schemas.openxmlformats.org/drawingml/2006/picture">
                <pic:pic>
                  <pic:nvPicPr>
                    <pic:cNvPr descr="images/arqimage1.1.png" id="84" name="Picture"/>
                    <pic:cNvPicPr>
                      <a:picLocks noChangeArrowheads="1" noChangeAspect="1"/>
                    </pic:cNvPicPr>
                  </pic:nvPicPr>
                  <pic:blipFill>
                    <a:blip r:embed="rId82"/>
                    <a:stretch>
                      <a:fillRect/>
                    </a:stretch>
                  </pic:blipFill>
                  <pic:spPr bwMode="auto">
                    <a:xfrm>
                      <a:off x="0" y="0"/>
                      <a:ext cx="5600700" cy="3015761"/>
                    </a:xfrm>
                    <a:prstGeom prst="rect">
                      <a:avLst/>
                    </a:prstGeom>
                    <a:noFill/>
                    <a:ln w="9525">
                      <a:noFill/>
                      <a:headEnd/>
                      <a:tailEnd/>
                    </a:ln>
                  </pic:spPr>
                </pic:pic>
              </a:graphicData>
            </a:graphic>
          </wp:inline>
        </w:drawing>
      </w:r>
      <w:bookmarkEnd w:id="85"/>
    </w:p>
    <w:p>
      <w:pPr>
        <w:pStyle w:val="ImageCaption"/>
      </w:pPr>
      <w:r>
        <w:t xml:space="preserve">Imagen 7: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es asimilable como el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86"/>
    <w:bookmarkStart w:id="91"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90" w:name="fig:arqimage2.png"/>
      <w:r>
        <w:drawing>
          <wp:inline>
            <wp:extent cx="5600700" cy="3015761"/>
            <wp:effectExtent b="0" l="0" r="0" t="0"/>
            <wp:docPr descr="Imagen 8: Fondo Nacional del Ahorro - Vista general de arquitectura de referencia. Nivel de detalle 2. Separación de subsegmentos de la arquitectura de referencia del FNA." title="" id="88" name="Picture"/>
            <a:graphic>
              <a:graphicData uri="http://schemas.openxmlformats.org/drawingml/2006/picture">
                <pic:pic>
                  <pic:nvPicPr>
                    <pic:cNvPr descr="images/arqimage2.png" id="89" name="Picture"/>
                    <pic:cNvPicPr>
                      <a:picLocks noChangeArrowheads="1" noChangeAspect="1"/>
                    </pic:cNvPicPr>
                  </pic:nvPicPr>
                  <pic:blipFill>
                    <a:blip r:embed="rId87"/>
                    <a:stretch>
                      <a:fillRect/>
                    </a:stretch>
                  </pic:blipFill>
                  <pic:spPr bwMode="auto">
                    <a:xfrm>
                      <a:off x="0" y="0"/>
                      <a:ext cx="5600700" cy="3015761"/>
                    </a:xfrm>
                    <a:prstGeom prst="rect">
                      <a:avLst/>
                    </a:prstGeom>
                    <a:noFill/>
                    <a:ln w="9525">
                      <a:noFill/>
                      <a:headEnd/>
                      <a:tailEnd/>
                    </a:ln>
                  </pic:spPr>
                </pic:pic>
              </a:graphicData>
            </a:graphic>
          </wp:inline>
        </w:drawing>
      </w:r>
      <w:bookmarkEnd w:id="90"/>
    </w:p>
    <w:p>
      <w:pPr>
        <w:pStyle w:val="ImageCaption"/>
      </w:pPr>
      <w:r>
        <w:t xml:space="preserve">Imagen 8: Fondo Nacional del Ahorro - Vista general de arquitectura de referencia. Nivel de detalle 2. Separación de subsegmentos de la arquitectura de referencia del FNA.</w:t>
      </w:r>
    </w:p>
    <w:bookmarkEnd w:id="0"/>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91"/>
    <w:bookmarkEnd w:id="92"/>
    <w:bookmarkStart w:id="98" w:name="X3d2c9767e2775fc019e8732887eceef34694eef"/>
    <w:p>
      <w:pPr>
        <w:pStyle w:val="Ttulo3"/>
      </w:pPr>
      <w:r>
        <w:t xml:space="preserve">ARQREF0. Vista Funcional de la Arquitectura de Referencia 2.0. Servicios y Aplicaciones</w:t>
      </w:r>
    </w:p>
    <w:p>
      <w:pPr>
        <w:pStyle w:val="FirstParagraph"/>
      </w:pPr>
      <w:r>
        <w:t xml:space="preserve">Presentamos la primera versión del modelo de referencia del dominio de servicios y aplicaciones 2.0 del FNA. El modelo queda representado en la siguiente vista funcional.</w:t>
      </w:r>
    </w:p>
    <w:bookmarkStart w:id="0" w:name="fig:ARQREF0.png"/>
    <w:p>
      <w:pPr>
        <w:pStyle w:val="CaptionedFigure"/>
      </w:pPr>
      <w:bookmarkStart w:id="96" w:name="fig:ARQREF0.png"/>
      <w:r>
        <w:drawing>
          <wp:inline>
            <wp:extent cx="5600700" cy="4090361"/>
            <wp:effectExtent b="0" l="0" r="0" t="0"/>
            <wp:docPr descr="Imagen 9: Fondo Nacional del Ahorro - Arquitectura de Referencia 2.0. Vista funcional del dominio de servicios y aplicaciones del FNA." title="" id="94" name="Picture"/>
            <a:graphic>
              <a:graphicData uri="http://schemas.openxmlformats.org/drawingml/2006/picture">
                <pic:pic>
                  <pic:nvPicPr>
                    <pic:cNvPr descr="images/ARQREF0.png" id="95" name="Picture"/>
                    <pic:cNvPicPr>
                      <a:picLocks noChangeArrowheads="1" noChangeAspect="1"/>
                    </pic:cNvPicPr>
                  </pic:nvPicPr>
                  <pic:blipFill>
                    <a:blip r:embed="rId93"/>
                    <a:stretch>
                      <a:fillRect/>
                    </a:stretch>
                  </pic:blipFill>
                  <pic:spPr bwMode="auto">
                    <a:xfrm>
                      <a:off x="0" y="0"/>
                      <a:ext cx="5600700" cy="4090361"/>
                    </a:xfrm>
                    <a:prstGeom prst="rect">
                      <a:avLst/>
                    </a:prstGeom>
                    <a:noFill/>
                    <a:ln w="9525">
                      <a:noFill/>
                      <a:headEnd/>
                      <a:tailEnd/>
                    </a:ln>
                  </pic:spPr>
                </pic:pic>
              </a:graphicData>
            </a:graphic>
          </wp:inline>
        </w:drawing>
      </w:r>
      <w:bookmarkEnd w:id="96"/>
    </w:p>
    <w:p>
      <w:pPr>
        <w:pStyle w:val="ImageCaption"/>
      </w:pPr>
      <w:r>
        <w:t xml:space="preserve">Imagen 9: Fondo Nacional del Ahorro - Arquitectura de Referencia 2.0. Vista funcional del dominio de servicios y aplicaciones del FNA.</w:t>
      </w:r>
    </w:p>
    <w:bookmarkEnd w:id="0"/>
    <w:p>
      <w:pPr>
        <w:pStyle w:val="Textoindependiente"/>
      </w:pPr>
      <w:r>
        <w:t xml:space="preserve">El modelo funcional de la arquitectura de referencia del FNA está organizado en los siguientes segmentos de arquitectura.</w:t>
      </w:r>
    </w:p>
    <w:bookmarkStart w:id="97" w:name="X4d247192c4281d55f0d465dd24dd72c737e5a73"/>
    <w:p>
      <w:pPr>
        <w:pStyle w:val="Ttulo4"/>
      </w:pPr>
      <w:r>
        <w:t xml:space="preserve">Segmentos del Modelo Funcional de la Arquitectura de Referencia</w:t>
      </w:r>
    </w:p>
    <w:p>
      <w:pPr>
        <w:numPr>
          <w:ilvl w:val="0"/>
          <w:numId w:val="1013"/>
        </w:numPr>
        <w:pStyle w:val="Compact"/>
      </w:pPr>
      <w:r>
        <w:t xml:space="preserve">Canales. Sitios físicos o electrónicos en relación con los clientes.</w:t>
      </w:r>
    </w:p>
    <w:p>
      <w:pPr>
        <w:numPr>
          <w:ilvl w:val="0"/>
          <w:numId w:val="1013"/>
        </w:numPr>
        <w:pStyle w:val="Compact"/>
      </w:pPr>
      <w:r>
        <w:t xml:space="preserve">Intermediación con Clientes. Medio físicos o electrónicos de interoperatividad del FNA con los clientes.</w:t>
      </w:r>
    </w:p>
    <w:p>
      <w:pPr>
        <w:numPr>
          <w:ilvl w:val="0"/>
          <w:numId w:val="1013"/>
        </w:numPr>
        <w:pStyle w:val="Compact"/>
      </w:pPr>
      <w:r>
        <w:t xml:space="preserve">Intermediación con Gobierno Nacional. Medio físicos o electrónicos de interoperatividad del FNA con entidades del Estado, como la Superintendencia Financiera de Colombia, Min Hacienda y MinTIC.</w:t>
      </w:r>
    </w:p>
    <w:p>
      <w:pPr>
        <w:numPr>
          <w:ilvl w:val="0"/>
          <w:numId w:val="1013"/>
        </w:numPr>
        <w:pStyle w:val="Compact"/>
      </w:pPr>
      <w:r>
        <w:t xml:space="preserve">Productos de la Empresa al Cliente. Productos de negocio ofertados, relación con clientes. Son colecciones de servicios que funcionan como una unidad.</w:t>
      </w:r>
    </w:p>
    <w:p>
      <w:pPr>
        <w:numPr>
          <w:ilvl w:val="0"/>
          <w:numId w:val="1013"/>
        </w:numPr>
        <w:pStyle w:val="Compact"/>
      </w:pPr>
      <w:r>
        <w:t xml:space="preserve">Trámites (procedimientos documentales) FNA. Procesos relacionados con los productos o clientes del FNA. Basados en documentación física o digital. Ejemplo, trámite de afiliaciones y retiros, el retiro de cesantías, aperturas, etc.</w:t>
      </w:r>
    </w:p>
    <w:p>
      <w:pPr>
        <w:numPr>
          <w:ilvl w:val="0"/>
          <w:numId w:val="1013"/>
        </w:numPr>
        <w:pStyle w:val="Compact"/>
      </w:pPr>
      <w:r>
        <w:t xml:space="preserve">Transacciones FNA. Unidades de intercambio de beneficios y registros de Crédito, Cartera, Garantías, Cuenta AVC.</w:t>
      </w:r>
    </w:p>
    <w:p>
      <w:pPr>
        <w:numPr>
          <w:ilvl w:val="0"/>
          <w:numId w:val="1013"/>
        </w:numPr>
        <w:pStyle w:val="Compact"/>
      </w:pPr>
      <w:r>
        <w:t xml:space="preserve">Actividad regulatoria del FNA. Procesos de intercambio de funciones regulatorias o sancionatorias e intercambio de información de seguridad debida al cumplimiento exigido por el Gobierno Nacional.</w:t>
      </w:r>
    </w:p>
    <w:p>
      <w:pPr>
        <w:numPr>
          <w:ilvl w:val="0"/>
          <w:numId w:val="1013"/>
        </w:numPr>
        <w:pStyle w:val="Compact"/>
      </w:pPr>
      <w:r>
        <w:t xml:space="preserve">Fuentes de Información Referencial Transaccional. Acceso a información requerida por las transacciones del FNA, como listas blancas, seguros, Registraduría.</w:t>
      </w:r>
    </w:p>
    <w:p>
      <w:pPr>
        <w:numPr>
          <w:ilvl w:val="0"/>
          <w:numId w:val="1013"/>
        </w:numPr>
        <w:pStyle w:val="Compact"/>
      </w:pPr>
      <w:r>
        <w:t xml:space="preserve">Fuentes de Información Provistas. Exposición de entidades y componentes de datos (reportes, esquemas, archivos…) al Bco. de la República, Ministerios, entre otros.</w:t>
      </w:r>
    </w:p>
    <w:p>
      <w:pPr>
        <w:numPr>
          <w:ilvl w:val="0"/>
          <w:numId w:val="1013"/>
        </w:numPr>
        <w:pStyle w:val="Compact"/>
      </w:pPr>
      <w:r>
        <w:t xml:space="preserve">Fuentes de Información Referencial Pública. Acceso a datos de entidades públicas, como Formatos de Ministerios, Registros de Asobancos, tasas del Bco. de la República.</w:t>
      </w:r>
    </w:p>
    <w:p>
      <w:pPr>
        <w:numPr>
          <w:ilvl w:val="0"/>
          <w:numId w:val="1013"/>
        </w:numPr>
        <w:pStyle w:val="Compact"/>
      </w:pPr>
      <w:r>
        <w:t xml:space="preserve">Procesamiento de información. Procesamiento de lotes diario o eventual del FNA, como contabilidad, elaboración de certificados, envío de mensajes electrónicos, descarga de información, emisión de documentos digitales, indexaciones, etc.</w:t>
      </w:r>
    </w:p>
    <w:p>
      <w:pPr>
        <w:pStyle w:val="FirstParagraph"/>
      </w:pPr>
    </w:p>
    <w:bookmarkEnd w:id="97"/>
    <w:bookmarkEnd w:id="98"/>
    <w:bookmarkStart w:id="99" w:name="elementos-de-la-vista-funcional"/>
    <w:p>
      <w:pPr>
        <w:pStyle w:val="Ttulo3"/>
      </w:pPr>
      <w:r>
        <w:t xml:space="preserve">Elementos de la Vista Funcional</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Aplicaciones Externas al FNA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Aplicación Ext - Banlínea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Aplicación Web - Banca Virtual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Aplicación Web - Scoring</w:t>
            </w:r>
          </w:p>
        </w:tc>
        <w:tc>
          <w:tcPr/>
          <w:p>
            <w:pPr>
              <w:pStyle w:val="Compact"/>
              <w:jc w:val="left"/>
            </w:pPr>
            <w:r>
              <w:t xml:space="preserve">application-component</w:t>
            </w:r>
          </w:p>
        </w:tc>
        <w:tc>
          <w:tcPr/>
          <w:p>
            <w:pPr>
              <w:pStyle w:val="Compact"/>
            </w:pPr>
          </w:p>
        </w:tc>
        <w:tc>
          <w:tcPr/>
          <w:p>
            <w:pPr>
              <w:pStyle w:val="Compact"/>
              <w:jc w:val="left"/>
            </w:pPr>
            <w:r>
              <w:rPr>
                <w:iCs/>
                <w:i/>
              </w:rPr>
              <w:t xml:space="preserve">alcanceSOA:</w:t>
            </w:r>
            <w:r>
              <w:t xml:space="preserve"> </w:t>
            </w:r>
            <w:r>
              <w:t xml:space="preserve">Fase 1.1</w:t>
            </w:r>
          </w:p>
        </w:tc>
      </w:tr>
      <w:tr>
        <w:tc>
          <w:tcPr/>
          <w:p>
            <w:pPr>
              <w:pStyle w:val="Compact"/>
              <w:jc w:val="left"/>
            </w:pPr>
            <w:r>
              <w:rPr>
                <w:bCs/>
                <w:b/>
              </w:rPr>
              <w:t xml:space="preserve">Aplicación Web - Simuladores (JBoss EAP)</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Kioscos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Atención al 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BBVA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COBIS - Caja y Bancos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COBIS - Presupuesto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 Digital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Deceval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FNA Móvil Ágil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Mi Vivienda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 Juídica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SAP - Activos Fijos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SAP - Contabilidad</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SAP - Facturación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Central API</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Central XML</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Central Interface de Aplicación</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Firma Local</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Intercomunicación compatible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API REST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API graphicQL</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Mensajes HTTP</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XRoad</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cob_ahorros..sp_puntuacionAV</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cob_credito..sp_utilidades_intranet</w:t>
            </w:r>
            <w:r>
              <w:rPr>
                <w:bCs/>
                <w:b/>
              </w:rPr>
              <w:t xml:space="preserve"> </w:t>
            </w:r>
            <w:r>
              <w:rPr>
                <w:bCs/>
                <w:b/>
              </w:rPr>
              <w:t xml:space="preserve">‘</w:t>
            </w:r>
            <w:r>
              <w:rPr>
                <w:bCs/>
                <w:b/>
              </w:rPr>
              <w:t xml:space="preserve">ahorros</w:t>
            </w:r>
            <w:r>
              <w:rPr>
                <w:bCs/>
                <w:b/>
              </w:rPr>
              <w:t xml:space="preserv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cob_credito..sp_utilidades_intranet</w:t>
            </w:r>
            <w:r>
              <w:rPr>
                <w:bCs/>
                <w:b/>
              </w:rPr>
              <w:t xml:space="preserve"> </w:t>
            </w:r>
            <w:r>
              <w:rPr>
                <w:bCs/>
                <w:b/>
              </w:rPr>
              <w:t xml:space="preserve">‘</w:t>
            </w:r>
            <w:r>
              <w:rPr>
                <w:bCs/>
                <w:b/>
              </w:rPr>
              <w:t xml:space="preserve">clientes</w:t>
            </w:r>
            <w:r>
              <w:rPr>
                <w:bCs/>
                <w:b/>
              </w:rPr>
              <w:t xml:space="preserv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Bolsa Valores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CRM</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Cartera</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Clientes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Clientes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Consumo</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Cuenta AVC</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Cuenta AVC</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Finanzas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Finanzas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Kioscos</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Puntos de Atención</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Actividad regulatorioas del FNA</w:t>
            </w:r>
          </w:p>
        </w:tc>
        <w:tc>
          <w:tcPr/>
          <w:p>
            <w:pPr>
              <w:pStyle w:val="Compact"/>
              <w:jc w:val="left"/>
            </w:pPr>
            <w:r>
              <w:t xml:space="preserve">grouping</w:t>
            </w:r>
          </w:p>
        </w:tc>
        <w:tc>
          <w:tcPr/>
          <w:p>
            <w:pPr>
              <w:pStyle w:val="Compact"/>
              <w:jc w:val="left"/>
            </w:pPr>
            <w:r>
              <w:t xml:space="preserve">Procesos de intercambio de funciones regulatorias o sancionatorias e intercambio de información de seguridad debida al cumplimiento exigido por el Gobierno Nacional.</w:t>
            </w:r>
          </w:p>
        </w:tc>
        <w:tc>
          <w:tcPr/>
          <w:p>
            <w:pPr>
              <w:pStyle w:val="Compact"/>
            </w:pPr>
          </w:p>
        </w:tc>
      </w:tr>
      <w:tr>
        <w:tc>
          <w:tcPr/>
          <w:p>
            <w:pPr>
              <w:pStyle w:val="Compact"/>
              <w:jc w:val="left"/>
            </w:pPr>
            <w:r>
              <w:rPr>
                <w:bCs/>
                <w:b/>
              </w:rPr>
              <w:t xml:space="preserve">Canales FNA</w:t>
            </w:r>
          </w:p>
        </w:tc>
        <w:tc>
          <w:tcPr/>
          <w:p>
            <w:pPr>
              <w:pStyle w:val="Compact"/>
              <w:jc w:val="left"/>
            </w:pPr>
            <w:r>
              <w:t xml:space="preserve">grouping</w:t>
            </w:r>
          </w:p>
        </w:tc>
        <w:tc>
          <w:tcPr/>
          <w:p>
            <w:pPr>
              <w:pStyle w:val="Compact"/>
              <w:jc w:val="left"/>
            </w:pPr>
            <w:r>
              <w:t xml:space="preserve">Sitios físicos o electrónicos en relación con los clientes.</w:t>
            </w:r>
          </w:p>
        </w:tc>
        <w:tc>
          <w:tcPr/>
          <w:p>
            <w:pPr>
              <w:pStyle w:val="Compact"/>
            </w:pPr>
          </w:p>
        </w:tc>
      </w:tr>
      <w:tr>
        <w:tc>
          <w:tcPr/>
          <w:p>
            <w:pPr>
              <w:pStyle w:val="Compact"/>
              <w:jc w:val="left"/>
            </w:pPr>
            <w:r>
              <w:rPr>
                <w:bCs/>
                <w:b/>
              </w:rPr>
              <w:t xml:space="preserve">Fuentes de Información Provistas</w:t>
            </w:r>
          </w:p>
        </w:tc>
        <w:tc>
          <w:tcPr/>
          <w:p>
            <w:pPr>
              <w:pStyle w:val="Compact"/>
              <w:jc w:val="left"/>
            </w:pPr>
            <w:r>
              <w:t xml:space="preserve">grouping</w:t>
            </w:r>
          </w:p>
        </w:tc>
        <w:tc>
          <w:tcPr/>
          <w:p>
            <w:pPr>
              <w:pStyle w:val="Compact"/>
              <w:jc w:val="left"/>
            </w:pPr>
            <w:r>
              <w:t xml:space="preserve">Exposición de entidades y componentes de datos (reportes, esquemas, archivos…) al Bco. de la República, Ministerios, entre otros.</w:t>
            </w:r>
          </w:p>
        </w:tc>
        <w:tc>
          <w:tcPr/>
          <w:p>
            <w:pPr>
              <w:pStyle w:val="Compact"/>
            </w:pPr>
          </w:p>
        </w:tc>
      </w:tr>
      <w:tr>
        <w:tc>
          <w:tcPr/>
          <w:p>
            <w:pPr>
              <w:pStyle w:val="Compact"/>
              <w:jc w:val="left"/>
            </w:pPr>
            <w:r>
              <w:rPr>
                <w:bCs/>
                <w:b/>
              </w:rPr>
              <w:t xml:space="preserve">Fuentes de Información Referencial Pública</w:t>
            </w:r>
          </w:p>
        </w:tc>
        <w:tc>
          <w:tcPr/>
          <w:p>
            <w:pPr>
              <w:pStyle w:val="Compact"/>
              <w:jc w:val="left"/>
            </w:pPr>
            <w:r>
              <w:t xml:space="preserve">grouping</w:t>
            </w:r>
          </w:p>
        </w:tc>
        <w:tc>
          <w:tcPr/>
          <w:p>
            <w:pPr>
              <w:pStyle w:val="Compact"/>
              <w:jc w:val="left"/>
            </w:pPr>
            <w:r>
              <w:t xml:space="preserve">Acceso a datos de entidades públicas, como Formatos de Ministerios, Registros de Asobancos, tasas del Bco. de la República.</w:t>
            </w:r>
          </w:p>
        </w:tc>
        <w:tc>
          <w:tcPr/>
          <w:p>
            <w:pPr>
              <w:pStyle w:val="Compact"/>
            </w:pPr>
          </w:p>
        </w:tc>
      </w:tr>
      <w:tr>
        <w:tc>
          <w:tcPr/>
          <w:p>
            <w:pPr>
              <w:pStyle w:val="Compact"/>
              <w:jc w:val="left"/>
            </w:pPr>
            <w:r>
              <w:rPr>
                <w:bCs/>
                <w:b/>
              </w:rPr>
              <w:t xml:space="preserve">Fuentes de Información Referencial Transaccional</w:t>
            </w:r>
          </w:p>
        </w:tc>
        <w:tc>
          <w:tcPr/>
          <w:p>
            <w:pPr>
              <w:pStyle w:val="Compact"/>
              <w:jc w:val="left"/>
            </w:pPr>
            <w:r>
              <w:t xml:space="preserve">grouping</w:t>
            </w:r>
          </w:p>
        </w:tc>
        <w:tc>
          <w:tcPr/>
          <w:p>
            <w:pPr>
              <w:pStyle w:val="Compact"/>
              <w:jc w:val="left"/>
            </w:pPr>
            <w:r>
              <w:t xml:space="preserve">Acceso a datos de entidades públicas, como Formatos de Ministerios, Registros de Asobancos, tasas del Bco. de la República.</w:t>
            </w:r>
          </w:p>
        </w:tc>
        <w:tc>
          <w:tcPr/>
          <w:p>
            <w:pPr>
              <w:pStyle w:val="Compact"/>
            </w:pPr>
          </w:p>
        </w:tc>
      </w:tr>
      <w:tr>
        <w:tc>
          <w:tcPr/>
          <w:p>
            <w:pPr>
              <w:pStyle w:val="Compact"/>
              <w:jc w:val="left"/>
            </w:pPr>
            <w:r>
              <w:rPr>
                <w:bCs/>
                <w:b/>
              </w:rPr>
              <w:t xml:space="preserve">Intermediación con Clientes</w:t>
            </w:r>
          </w:p>
        </w:tc>
        <w:tc>
          <w:tcPr/>
          <w:p>
            <w:pPr>
              <w:pStyle w:val="Compact"/>
              <w:jc w:val="left"/>
            </w:pPr>
            <w:r>
              <w:t xml:space="preserve">grouping</w:t>
            </w:r>
          </w:p>
        </w:tc>
        <w:tc>
          <w:tcPr/>
          <w:p>
            <w:pPr>
              <w:pStyle w:val="Compact"/>
              <w:jc w:val="left"/>
            </w:pPr>
            <w:r>
              <w:t xml:space="preserve">Medio físicos o electrónicos de interoperatividad del FNA con los clientes.</w:t>
            </w:r>
          </w:p>
        </w:tc>
        <w:tc>
          <w:tcPr/>
          <w:p>
            <w:pPr>
              <w:pStyle w:val="Compact"/>
            </w:pPr>
          </w:p>
        </w:tc>
      </w:tr>
      <w:tr>
        <w:tc>
          <w:tcPr/>
          <w:p>
            <w:pPr>
              <w:pStyle w:val="Compact"/>
              <w:jc w:val="left"/>
            </w:pPr>
            <w:r>
              <w:rPr>
                <w:bCs/>
                <w:b/>
              </w:rPr>
              <w:t xml:space="preserve">Intermediación con Gobierno Nacional</w:t>
            </w:r>
          </w:p>
        </w:tc>
        <w:tc>
          <w:tcPr/>
          <w:p>
            <w:pPr>
              <w:pStyle w:val="Compact"/>
              <w:jc w:val="left"/>
            </w:pPr>
            <w:r>
              <w:t xml:space="preserve">grouping</w:t>
            </w:r>
          </w:p>
        </w:tc>
        <w:tc>
          <w:tcPr/>
          <w:p>
            <w:pPr>
              <w:pStyle w:val="Compact"/>
              <w:jc w:val="left"/>
            </w:pPr>
            <w:r>
              <w:t xml:space="preserve">Superintendencia Financiera Col.</w:t>
            </w:r>
            <w:r>
              <w:t xml:space="preserve">Min Hacienda</w:t>
            </w:r>
            <w:r>
              <w:t xml:space="preserve">MinTIC</w:t>
            </w:r>
          </w:p>
        </w:tc>
        <w:tc>
          <w:tcPr/>
          <w:p>
            <w:pPr>
              <w:pStyle w:val="Compact"/>
            </w:pPr>
          </w:p>
        </w:tc>
      </w:tr>
      <w:tr>
        <w:tc>
          <w:tcPr/>
          <w:p>
            <w:pPr>
              <w:pStyle w:val="Compact"/>
              <w:jc w:val="left"/>
            </w:pPr>
            <w:r>
              <w:rPr>
                <w:bCs/>
                <w:b/>
              </w:rPr>
              <w:t xml:space="preserve">Procesamiento de información</w:t>
            </w:r>
          </w:p>
        </w:tc>
        <w:tc>
          <w:tcPr/>
          <w:p>
            <w:pPr>
              <w:pStyle w:val="Compact"/>
              <w:jc w:val="left"/>
            </w:pPr>
            <w:r>
              <w:t xml:space="preserve">grouping</w:t>
            </w:r>
          </w:p>
        </w:tc>
        <w:tc>
          <w:tcPr/>
          <w:p>
            <w:pPr>
              <w:pStyle w:val="Compact"/>
              <w:jc w:val="left"/>
            </w:pPr>
            <w:r>
              <w:t xml:space="preserve">Procesamiento de lotes diario o eventual del FNA, como contabilidad, elaboración de certificados, envío de mensajes electrónicos, descarga de información, emisión de documentos digitales, indexaciones, etc.</w:t>
            </w:r>
          </w:p>
        </w:tc>
        <w:tc>
          <w:tcPr/>
          <w:p>
            <w:pPr>
              <w:pStyle w:val="Compact"/>
            </w:pPr>
          </w:p>
        </w:tc>
      </w:tr>
      <w:tr>
        <w:tc>
          <w:tcPr/>
          <w:p>
            <w:pPr>
              <w:pStyle w:val="Compact"/>
              <w:jc w:val="left"/>
            </w:pPr>
            <w:r>
              <w:rPr>
                <w:bCs/>
                <w:b/>
              </w:rPr>
              <w:t xml:space="preserve">Productos de la Empresa al Cliente</w:t>
            </w:r>
          </w:p>
        </w:tc>
        <w:tc>
          <w:tcPr/>
          <w:p>
            <w:pPr>
              <w:pStyle w:val="Compact"/>
              <w:jc w:val="left"/>
            </w:pPr>
            <w:r>
              <w:t xml:space="preserve">grouping</w:t>
            </w:r>
          </w:p>
        </w:tc>
        <w:tc>
          <w:tcPr/>
          <w:p>
            <w:pPr>
              <w:pStyle w:val="Compact"/>
              <w:jc w:val="left"/>
            </w:pPr>
            <w:r>
              <w:t xml:space="preserve">Productos de negocio ofertados, relación con clientes. Son colecciones de servicios que funcionan como una unidad.</w:t>
            </w:r>
          </w:p>
        </w:tc>
        <w:tc>
          <w:tcPr/>
          <w:p>
            <w:pPr>
              <w:pStyle w:val="Compact"/>
            </w:pPr>
          </w:p>
        </w:tc>
      </w:tr>
      <w:tr>
        <w:tc>
          <w:tcPr/>
          <w:p>
            <w:pPr>
              <w:pStyle w:val="Compact"/>
              <w:jc w:val="left"/>
            </w:pPr>
            <w:r>
              <w:rPr>
                <w:bCs/>
                <w:b/>
              </w:rPr>
              <w:t xml:space="preserve">Transacciones FNA - Crédito, Cartera, Garantías, AVC</w:t>
            </w:r>
          </w:p>
        </w:tc>
        <w:tc>
          <w:tcPr/>
          <w:p>
            <w:pPr>
              <w:pStyle w:val="Compact"/>
              <w:jc w:val="left"/>
            </w:pPr>
            <w:r>
              <w:t xml:space="preserve">grouping</w:t>
            </w:r>
          </w:p>
        </w:tc>
        <w:tc>
          <w:tcPr/>
          <w:p>
            <w:pPr>
              <w:pStyle w:val="Compact"/>
              <w:jc w:val="left"/>
            </w:pPr>
            <w:r>
              <w:t xml:space="preserve">Unidades de intercambio de beneficios y registros de Crédito, Cartera, Garantías, Cuenta AVC.</w:t>
            </w:r>
          </w:p>
        </w:tc>
        <w:tc>
          <w:tcPr/>
          <w:p>
            <w:pPr>
              <w:pStyle w:val="Compact"/>
            </w:pPr>
          </w:p>
        </w:tc>
      </w:tr>
      <w:tr>
        <w:tc>
          <w:tcPr/>
          <w:p>
            <w:pPr>
              <w:pStyle w:val="Compact"/>
              <w:jc w:val="left"/>
            </w:pPr>
            <w:r>
              <w:rPr>
                <w:bCs/>
                <w:b/>
              </w:rPr>
              <w:t xml:space="preserve">Trámites (procedimientos documentales) de la Empresa</w:t>
            </w:r>
          </w:p>
        </w:tc>
        <w:tc>
          <w:tcPr/>
          <w:p>
            <w:pPr>
              <w:pStyle w:val="Compact"/>
              <w:jc w:val="left"/>
            </w:pPr>
            <w:r>
              <w:t xml:space="preserve">grouping</w:t>
            </w:r>
          </w:p>
        </w:tc>
        <w:tc>
          <w:tcPr/>
          <w:p>
            <w:pPr>
              <w:pStyle w:val="Compact"/>
              <w:jc w:val="left"/>
            </w:pPr>
            <w:r>
              <w:t xml:space="preserve">Procesos relacionados con los productos o clientes del FNA. Basados en documentación física o digital. Ejemplo, trámite de afiliaciones y retiros, el retiro de cesantías, aperturas, etc.</w:t>
            </w:r>
          </w:p>
        </w:tc>
        <w:tc>
          <w:tcPr/>
          <w:p>
            <w:pPr>
              <w:pStyle w:val="Compact"/>
            </w:pPr>
          </w:p>
        </w:tc>
      </w:tr>
      <w:tr>
        <w:tc>
          <w:tcPr/>
          <w:p>
            <w:pPr>
              <w:pStyle w:val="Compact"/>
              <w:jc w:val="left"/>
            </w:pPr>
            <w:r>
              <w:rPr>
                <w:bCs/>
                <w:b/>
              </w:rPr>
              <w:t xml:space="preserve">Fondo Nacional del Ahorro</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Location</w:t>
            </w:r>
          </w:p>
        </w:tc>
        <w:tc>
          <w:tcPr/>
          <w:p>
            <w:pPr>
              <w:pStyle w:val="Compact"/>
              <w:jc w:val="left"/>
            </w:pPr>
            <w:r>
              <w:t xml:space="preserve">location</w:t>
            </w:r>
          </w:p>
        </w:tc>
        <w:tc>
          <w:tcPr/>
          <w:p>
            <w:pPr>
              <w:pStyle w:val="Compact"/>
            </w:pPr>
          </w:p>
        </w:tc>
        <w:tc>
          <w:tcPr/>
          <w:p>
            <w:pPr>
              <w:pStyle w:val="Compact"/>
            </w:pPr>
          </w:p>
        </w:tc>
      </w:tr>
    </w:tbl>
    <w:bookmarkEnd w:id="99"/>
    <w:bookmarkEnd w:id="100"/>
    <w:bookmarkStart w:id="105" w:name="arqref.1.malla-micross"/>
    <w:p>
      <w:pPr>
        <w:pStyle w:val="Ttulo2"/>
      </w:pPr>
      <w:r>
        <w:t xml:space="preserve">ARQREF.1.Malla Micross</w:t>
      </w:r>
    </w:p>
    <w:p>
      <w:pPr>
        <w:pStyle w:val="FirstParagraph"/>
      </w:pPr>
      <w:hyperlink w:anchor="arqref.1.malla-micross"/>
      <w:r>
        <w:t xml:space="preserve"> </w:t>
      </w:r>
      <w:r>
        <w:drawing>
          <wp:inline>
            <wp:extent cx="5600700" cy="4457391"/>
            <wp:effectExtent b="0" l="0" r="0" t="0"/>
            <wp:docPr descr="Diagram: ARQREF.1.Malla Micross" title="" id="102" name="Picture"/>
            <a:graphic>
              <a:graphicData uri="http://schemas.openxmlformats.org/drawingml/2006/picture">
                <pic:pic>
                  <pic:nvPicPr>
                    <pic:cNvPr descr="images/ARQREF.1.Malla%20Micross.png" id="103" name="Picture"/>
                    <pic:cNvPicPr>
                      <a:picLocks noChangeArrowheads="1" noChangeAspect="1"/>
                    </pic:cNvPicPr>
                  </pic:nvPicPr>
                  <pic:blipFill>
                    <a:blip r:embed="rId101"/>
                    <a:stretch>
                      <a:fillRect/>
                    </a:stretch>
                  </pic:blipFill>
                  <pic:spPr bwMode="auto">
                    <a:xfrm>
                      <a:off x="0" y="0"/>
                      <a:ext cx="5600700" cy="4457391"/>
                    </a:xfrm>
                    <a:prstGeom prst="rect">
                      <a:avLst/>
                    </a:prstGeom>
                    <a:noFill/>
                    <a:ln w="9525">
                      <a:noFill/>
                      <a:headEnd/>
                      <a:tailEnd/>
                    </a:ln>
                  </pic:spPr>
                </pic:pic>
              </a:graphicData>
            </a:graphic>
          </wp:inline>
        </w:drawing>
      </w:r>
    </w:p>
    <w:bookmarkStart w:id="104" w:name="elementos-de-la-vista"/>
    <w:p>
      <w:pPr>
        <w:pStyle w:val="Ttulo3"/>
      </w:pPr>
      <w:r>
        <w:t xml:space="preserve">Elementos de la Vista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Kioscos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Choreography-based saga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Orchestration-based saga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 Juídica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Mesh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Sidecar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Sidecar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Sidecar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Developer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Kioscos</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per microservice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Asynchronous messaging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Communication &amp; Routing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 - East West Traffic</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Distributed transactions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Architecture Cloud</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Kubernates Cluster - Service orchestration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 - North south traffic</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 &amp; Measure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Security &amp; Protect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Serveless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Service Mesh</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User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Fondo Nacional del Ahorro</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Puntos de Atención</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delivery network</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Developer Portal</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Kubernates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 Microservices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managed instance - Microservices View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Serveles</w:t>
            </w:r>
          </w:p>
        </w:tc>
        <w:tc>
          <w:tcPr/>
          <w:p>
            <w:pPr>
              <w:pStyle w:val="Compact"/>
              <w:jc w:val="left"/>
            </w:pPr>
            <w:r>
              <w:t xml:space="preserve">technology-service</w:t>
            </w:r>
          </w:p>
        </w:tc>
        <w:tc>
          <w:tcPr/>
          <w:p>
            <w:pPr>
              <w:pStyle w:val="Compact"/>
            </w:pPr>
          </w:p>
        </w:tc>
        <w:tc>
          <w:tcPr/>
          <w:p>
            <w:pPr>
              <w:pStyle w:val="Compact"/>
            </w:pPr>
          </w:p>
        </w:tc>
      </w:tr>
    </w:tbl>
    <w:bookmarkEnd w:id="104"/>
    <w:bookmarkEnd w:id="105"/>
    <w:bookmarkStart w:id="110" w:name="arqref.2.datos"/>
    <w:p>
      <w:pPr>
        <w:pStyle w:val="Ttulo2"/>
      </w:pPr>
      <w:r>
        <w:t xml:space="preserve">ARQREF.2.Datos</w:t>
      </w:r>
    </w:p>
    <w:p>
      <w:pPr>
        <w:pStyle w:val="FirstParagraph"/>
      </w:pPr>
      <w:hyperlink w:anchor="arqref.2.datos"/>
      <w:r>
        <w:t xml:space="preserve"> </w:t>
      </w:r>
      <w:r>
        <w:drawing>
          <wp:inline>
            <wp:extent cx="5600700" cy="2910285"/>
            <wp:effectExtent b="0" l="0" r="0" t="0"/>
            <wp:docPr descr="Diagram: ARQREF.2.Datos" title="" id="107" name="Picture"/>
            <a:graphic>
              <a:graphicData uri="http://schemas.openxmlformats.org/drawingml/2006/picture">
                <pic:pic>
                  <pic:nvPicPr>
                    <pic:cNvPr descr="images/ARQREF.2.Datos.png" id="108" name="Picture"/>
                    <pic:cNvPicPr>
                      <a:picLocks noChangeArrowheads="1" noChangeAspect="1"/>
                    </pic:cNvPicPr>
                  </pic:nvPicPr>
                  <pic:blipFill>
                    <a:blip r:embed="rId106"/>
                    <a:stretch>
                      <a:fillRect/>
                    </a:stretch>
                  </pic:blipFill>
                  <pic:spPr bwMode="auto">
                    <a:xfrm>
                      <a:off x="0" y="0"/>
                      <a:ext cx="5600700" cy="2910285"/>
                    </a:xfrm>
                    <a:prstGeom prst="rect">
                      <a:avLst/>
                    </a:prstGeom>
                    <a:noFill/>
                    <a:ln w="9525">
                      <a:noFill/>
                      <a:headEnd/>
                      <a:tailEnd/>
                    </a:ln>
                  </pic:spPr>
                </pic:pic>
              </a:graphicData>
            </a:graphic>
          </wp:inline>
        </w:drawing>
      </w:r>
    </w:p>
    <w:bookmarkStart w:id="109" w:name="elementos-de-la-vista-1"/>
    <w:p>
      <w:pPr>
        <w:pStyle w:val="Ttulo3"/>
      </w:pPr>
      <w:r>
        <w:t xml:space="preserve">Elementos de la Vista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WEB/ Mobile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Master Data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Docs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Business Data Owner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Business Process Owner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Data Stewardship</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FNA User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Governance Stewardship</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Technical Data Stewardship</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Administración de Cuentas y Pagos Cesantías</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 de Aportes de Cesantías</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Procesos Gestión de Crédito Educativo</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Procesos Gestión de Crédito Hipotecario</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Procesos Gestión de crédito Constructor</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Cartera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Cesantias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Cuenta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Garantía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PQYR</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Tesorería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t xml:space="preserve">** Database per microservice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Business Users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landing zone - Self-serve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management Zone - Data Governance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Enrich - BI &amp; Data Science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Architecture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Data sources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Data Mesh</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Mission Processes</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Ingest and prepare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Orchestrate - Data Pipeline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Platform service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Polyglot storage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Process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Store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Transform and prepare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Junction</w:t>
            </w:r>
          </w:p>
        </w:tc>
        <w:tc>
          <w:tcPr/>
          <w:p>
            <w:pPr>
              <w:pStyle w:val="Compact"/>
              <w:jc w:val="left"/>
            </w:pPr>
            <w:r>
              <w:t xml:space="preserve">junction</w:t>
            </w:r>
          </w:p>
        </w:tc>
        <w:tc>
          <w:tcPr/>
          <w:p>
            <w:pPr>
              <w:pStyle w:val="Compact"/>
            </w:pPr>
          </w:p>
        </w:tc>
        <w:tc>
          <w:tcPr/>
          <w:p>
            <w:pPr>
              <w:pStyle w:val="Compact"/>
            </w:pPr>
          </w:p>
        </w:tc>
      </w:tr>
      <w:tr>
        <w:tc>
          <w:tcPr/>
          <w:p>
            <w:pPr>
              <w:pStyle w:val="Compact"/>
              <w:jc w:val="left"/>
            </w:pPr>
            <w:r>
              <w:rPr>
                <w:bCs/>
                <w:b/>
              </w:rPr>
              <w:t xml:space="preserve">DB2</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ECM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Oracle</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SAP</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SQL Server</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Analytics engine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Policy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Cognitive services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Cosmos DB</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Integration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Lake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Process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Share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Enterprise analytics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Key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Machine learning</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Profisee - MDM</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Purview - Data Catalog</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managed instance - Microservices View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managed instance - Microservices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Security center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Semantic Models</w:t>
            </w:r>
          </w:p>
        </w:tc>
        <w:tc>
          <w:tcPr/>
          <w:p>
            <w:pPr>
              <w:pStyle w:val="Compact"/>
              <w:jc w:val="left"/>
            </w:pPr>
            <w:r>
              <w:t xml:space="preserve">technology-service</w:t>
            </w:r>
          </w:p>
        </w:tc>
        <w:tc>
          <w:tcPr/>
          <w:p>
            <w:pPr>
              <w:pStyle w:val="Compact"/>
            </w:pPr>
          </w:p>
        </w:tc>
        <w:tc>
          <w:tcPr/>
          <w:p>
            <w:pPr>
              <w:pStyle w:val="Compact"/>
            </w:pPr>
          </w:p>
        </w:tc>
      </w:tr>
    </w:tbl>
    <w:bookmarkEnd w:id="109"/>
    <w:bookmarkEnd w:id="110"/>
    <w:bookmarkStart w:id="115" w:name="arqref.3.entrega"/>
    <w:p>
      <w:pPr>
        <w:pStyle w:val="Ttulo2"/>
      </w:pPr>
      <w:r>
        <w:t xml:space="preserve">ARQREF.3.Entrega</w:t>
      </w:r>
    </w:p>
    <w:p>
      <w:pPr>
        <w:pStyle w:val="FirstParagraph"/>
      </w:pPr>
      <w:hyperlink w:anchor="arqref.3.entrega"/>
      <w:r>
        <w:t xml:space="preserve"> </w:t>
      </w:r>
      <w:r>
        <w:drawing>
          <wp:inline>
            <wp:extent cx="5600700" cy="4680802"/>
            <wp:effectExtent b="0" l="0" r="0" t="0"/>
            <wp:docPr descr="Diagram: ARQREF.3.Entrega" title="" id="112" name="Picture"/>
            <a:graphic>
              <a:graphicData uri="http://schemas.openxmlformats.org/drawingml/2006/picture">
                <pic:pic>
                  <pic:nvPicPr>
                    <pic:cNvPr descr="images/ARQREF.3.Entrega.png" id="113" name="Picture"/>
                    <pic:cNvPicPr>
                      <a:picLocks noChangeArrowheads="1" noChangeAspect="1"/>
                    </pic:cNvPicPr>
                  </pic:nvPicPr>
                  <pic:blipFill>
                    <a:blip r:embed="rId111"/>
                    <a:stretch>
                      <a:fillRect/>
                    </a:stretch>
                  </pic:blipFill>
                  <pic:spPr bwMode="auto">
                    <a:xfrm>
                      <a:off x="0" y="0"/>
                      <a:ext cx="5600700" cy="4680802"/>
                    </a:xfrm>
                    <a:prstGeom prst="rect">
                      <a:avLst/>
                    </a:prstGeom>
                    <a:noFill/>
                    <a:ln w="9525">
                      <a:noFill/>
                      <a:headEnd/>
                      <a:tailEnd/>
                    </a:ln>
                  </pic:spPr>
                </pic:pic>
              </a:graphicData>
            </a:graphic>
          </wp:inline>
        </w:drawing>
      </w:r>
    </w:p>
    <w:bookmarkStart w:id="114" w:name="elementos-de-la-vista-2"/>
    <w:p>
      <w:pPr>
        <w:pStyle w:val="Ttulo3"/>
      </w:pPr>
      <w:r>
        <w:t xml:space="preserve">Elementos de la Vista</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Azure Cli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Azure Portal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Azure Portal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Azure PowerShell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Browser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Browser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DevOps Variables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Files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Library</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yaml pipelines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Admin DevOps</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Analysts</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Analysts</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Dev Team</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Developer</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Tester</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Tester</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Project</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Azure cloud</w:t>
            </w:r>
            <w:r>
              <w:rPr>
                <w:bCs/>
                <w:b/>
              </w:rPr>
              <w:t xml:space="preserve"> </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Environment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Laptop/desktop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Laptop/desktop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Laptop/desktop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Git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Clone</w:t>
            </w:r>
          </w:p>
        </w:tc>
        <w:tc>
          <w:tcPr/>
          <w:p>
            <w:pPr>
              <w:pStyle w:val="Compact"/>
              <w:jc w:val="left"/>
            </w:pPr>
            <w:r>
              <w:t xml:space="preserve">technology-event</w:t>
            </w:r>
          </w:p>
        </w:tc>
        <w:tc>
          <w:tcPr/>
          <w:p>
            <w:pPr>
              <w:pStyle w:val="Compact"/>
            </w:pPr>
          </w:p>
        </w:tc>
        <w:tc>
          <w:tcPr/>
          <w:p>
            <w:pPr>
              <w:pStyle w:val="Compact"/>
            </w:pPr>
          </w:p>
        </w:tc>
      </w:tr>
      <w:tr>
        <w:tc>
          <w:tcPr/>
          <w:p>
            <w:pPr>
              <w:pStyle w:val="Compact"/>
              <w:jc w:val="left"/>
            </w:pPr>
            <w:r>
              <w:rPr>
                <w:bCs/>
                <w:b/>
              </w:rPr>
              <w:t xml:space="preserve">Pull</w:t>
            </w:r>
          </w:p>
        </w:tc>
        <w:tc>
          <w:tcPr/>
          <w:p>
            <w:pPr>
              <w:pStyle w:val="Compact"/>
              <w:jc w:val="left"/>
            </w:pPr>
            <w:r>
              <w:t xml:space="preserve">technology-event</w:t>
            </w:r>
          </w:p>
        </w:tc>
        <w:tc>
          <w:tcPr/>
          <w:p>
            <w:pPr>
              <w:pStyle w:val="Compact"/>
            </w:pPr>
          </w:p>
        </w:tc>
        <w:tc>
          <w:tcPr/>
          <w:p>
            <w:pPr>
              <w:pStyle w:val="Compact"/>
            </w:pPr>
          </w:p>
        </w:tc>
      </w:tr>
      <w:tr>
        <w:tc>
          <w:tcPr/>
          <w:p>
            <w:pPr>
              <w:pStyle w:val="Compact"/>
              <w:jc w:val="left"/>
            </w:pPr>
            <w:r>
              <w:rPr>
                <w:bCs/>
                <w:b/>
              </w:rPr>
              <w:t xml:space="preserve">Push</w:t>
            </w:r>
          </w:p>
        </w:tc>
        <w:tc>
          <w:tcPr/>
          <w:p>
            <w:pPr>
              <w:pStyle w:val="Compact"/>
              <w:jc w:val="left"/>
            </w:pPr>
            <w:r>
              <w:t xml:space="preserve">technology-event</w:t>
            </w:r>
          </w:p>
        </w:tc>
        <w:tc>
          <w:tcPr/>
          <w:p>
            <w:pPr>
              <w:pStyle w:val="Compact"/>
            </w:pPr>
          </w:p>
        </w:tc>
        <w:tc>
          <w:tcPr/>
          <w:p>
            <w:pPr>
              <w:pStyle w:val="Compact"/>
            </w:pPr>
          </w:p>
        </w:tc>
      </w:tr>
      <w:tr>
        <w:tc>
          <w:tcPr/>
          <w:p>
            <w:pPr>
              <w:pStyle w:val="Compact"/>
              <w:jc w:val="left"/>
            </w:pPr>
            <w:r>
              <w:rPr>
                <w:bCs/>
                <w:b/>
              </w:rPr>
              <w:t xml:space="preserve">Branches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Commits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Dev</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Master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Pull request</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Pushes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QA</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Tags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CD</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CI</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Azure 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Artifacts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Container Registry (non-production)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Container Registry (production)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Overview</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Pipelines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RBAC Roles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Repos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Resource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Resource Provider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Backlogs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Build Pipeline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Dashboards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Delivery plans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Deployments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Azure Projects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Azure Suscription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Organization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Financial commitment limits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Progress report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Queries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Releases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Resource Policies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Resource limits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Resources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Runs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Sprints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Summary</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Task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Tenant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Wiki</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Work items</w:t>
            </w:r>
          </w:p>
        </w:tc>
        <w:tc>
          <w:tcPr/>
          <w:p>
            <w:pPr>
              <w:pStyle w:val="Compact"/>
              <w:jc w:val="left"/>
            </w:pPr>
            <w:r>
              <w:t xml:space="preserve">technology-service</w:t>
            </w:r>
          </w:p>
        </w:tc>
        <w:tc>
          <w:tcPr/>
          <w:p>
            <w:pPr>
              <w:pStyle w:val="Compact"/>
            </w:pPr>
          </w:p>
        </w:tc>
        <w:tc>
          <w:tcPr/>
          <w:p>
            <w:pPr>
              <w:pStyle w:val="Compact"/>
            </w:pPr>
          </w:p>
        </w:tc>
      </w:tr>
    </w:tbl>
    <w:bookmarkEnd w:id="114"/>
    <w:bookmarkEnd w:id="115"/>
    <w:bookmarkStart w:id="129" w:name="arqref.4.fna"/>
    <w:p>
      <w:pPr>
        <w:pStyle w:val="Ttulo2"/>
      </w:pPr>
      <w:r>
        <w:t xml:space="preserve">ARQREF.4.FNA</w:t>
      </w:r>
    </w:p>
    <w:p>
      <w:pPr>
        <w:pStyle w:val="FirstParagraph"/>
      </w:pPr>
      <w:hyperlink w:anchor="arqref.4.fna"/>
      <w:r>
        <w:t xml:space="preserve"> </w:t>
      </w:r>
      <w:r>
        <w:drawing>
          <wp:inline>
            <wp:extent cx="5600700" cy="4620064"/>
            <wp:effectExtent b="0" l="0" r="0" t="0"/>
            <wp:docPr descr="Diagram: ARQREF.4.FNA" title="" id="117" name="Picture"/>
            <a:graphic>
              <a:graphicData uri="http://schemas.openxmlformats.org/drawingml/2006/picture">
                <pic:pic>
                  <pic:nvPicPr>
                    <pic:cNvPr descr="images/ARQREF.4.FNA.png" id="118" name="Picture"/>
                    <pic:cNvPicPr>
                      <a:picLocks noChangeArrowheads="1" noChangeAspect="1"/>
                    </pic:cNvPicPr>
                  </pic:nvPicPr>
                  <pic:blipFill>
                    <a:blip r:embed="rId116"/>
                    <a:stretch>
                      <a:fillRect/>
                    </a:stretch>
                  </pic:blipFill>
                  <pic:spPr bwMode="auto">
                    <a:xfrm>
                      <a:off x="0" y="0"/>
                      <a:ext cx="5600700" cy="4620064"/>
                    </a:xfrm>
                    <a:prstGeom prst="rect">
                      <a:avLst/>
                    </a:prstGeom>
                    <a:noFill/>
                    <a:ln w="9525">
                      <a:noFill/>
                      <a:headEnd/>
                      <a:tailEnd/>
                    </a:ln>
                  </pic:spPr>
                </pic:pic>
              </a:graphicData>
            </a:graphic>
          </wp:inline>
        </w:drawing>
      </w:r>
    </w:p>
    <w:bookmarkStart w:id="119" w:name="elementos-de-la-vista-3"/>
    <w:p>
      <w:pPr>
        <w:pStyle w:val="Ttulo3"/>
      </w:pPr>
      <w:r>
        <w:t xml:space="preserve">Elementos de la Vista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Aplicaciones Externas al FNA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Kioscos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 Juídica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Mesh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Files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Library</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database</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Cartera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Cesantias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Kioscos</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Analytics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Asynchronous messaging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 FNA</w:t>
            </w:r>
          </w:p>
        </w:tc>
        <w:tc>
          <w:tcPr/>
          <w:p>
            <w:pPr>
              <w:pStyle w:val="Compact"/>
              <w:jc w:val="left"/>
            </w:pPr>
            <w:r>
              <w:t xml:space="preserve">grouping</w:t>
            </w:r>
          </w:p>
        </w:tc>
        <w:tc>
          <w:tcPr/>
          <w:p>
            <w:pPr>
              <w:pStyle w:val="Compact"/>
              <w:jc w:val="left"/>
            </w:pPr>
            <w:r>
              <w:t xml:space="preserve">Sitios físicos o electrónicos en relación con los clientes.</w:t>
            </w:r>
          </w:p>
        </w:tc>
        <w:tc>
          <w:tcPr/>
          <w:p>
            <w:pPr>
              <w:pStyle w:val="Compact"/>
            </w:pPr>
          </w:p>
        </w:tc>
      </w:tr>
      <w:tr>
        <w:tc>
          <w:tcPr/>
          <w:p>
            <w:pPr>
              <w:pStyle w:val="Compact"/>
              <w:jc w:val="left"/>
            </w:pPr>
            <w:r>
              <w:rPr>
                <w:bCs/>
                <w:b/>
              </w:rPr>
              <w:t xml:space="preserve">Collaborative work</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Communication &amp; Routing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landing zone - Self-serve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Database Layer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Enrich - BI &amp; Data Science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Computación de la Empresa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Ingest and prepare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Kubernates Cluster - Service orchestration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 - North south traffic</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 &amp; Measure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Orchestrate - Data Pipeline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Polyglot storage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Process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Security &amp; Protect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Serveless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Service Mesh</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Storage Layer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Store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Transform and prepare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User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VM Database Server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Junction</w:t>
            </w:r>
          </w:p>
        </w:tc>
        <w:tc>
          <w:tcPr/>
          <w:p>
            <w:pPr>
              <w:pStyle w:val="Compact"/>
              <w:jc w:val="left"/>
            </w:pPr>
            <w:r>
              <w:t xml:space="preserve">junction</w:t>
            </w:r>
          </w:p>
        </w:tc>
        <w:tc>
          <w:tcPr/>
          <w:p>
            <w:pPr>
              <w:pStyle w:val="Compact"/>
            </w:pPr>
          </w:p>
        </w:tc>
        <w:tc>
          <w:tcPr/>
          <w:p>
            <w:pPr>
              <w:pStyle w:val="Compact"/>
            </w:pPr>
          </w:p>
        </w:tc>
      </w:tr>
      <w:tr>
        <w:tc>
          <w:tcPr/>
          <w:p>
            <w:pPr>
              <w:pStyle w:val="Compact"/>
              <w:jc w:val="left"/>
            </w:pPr>
            <w:r>
              <w:rPr>
                <w:bCs/>
                <w:b/>
              </w:rPr>
              <w:t xml:space="preserve">Fondo Nacional del Ahorro</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Environment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VM DB2 server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VM Oracle server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VM SAP server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Branches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Commits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Pull request</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Pushes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Tags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Analytics engine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delivery network</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Artifacts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Overview</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Pipelines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Repos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Backlogs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Build Pipeline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Chache for Redis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Cognitive services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Container Registry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Content delivery network</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Dashboards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Integration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Lake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Lake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Process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Share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Delivery plans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Deployments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Developer Portal</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Enterprise analytics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Azure Projects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Organization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File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Kubernates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MDM</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Machine learning</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NoSQL DB</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Progress report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Queries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Queue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Releases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Runs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 Microservices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Semantic Reports &amp; BI</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Serveles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Sprints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Storage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Summary</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Table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Task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Wiki</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Work items</w:t>
            </w:r>
          </w:p>
        </w:tc>
        <w:tc>
          <w:tcPr/>
          <w:p>
            <w:pPr>
              <w:pStyle w:val="Compact"/>
              <w:jc w:val="left"/>
            </w:pPr>
            <w:r>
              <w:t xml:space="preserve">technology-service</w:t>
            </w:r>
          </w:p>
        </w:tc>
        <w:tc>
          <w:tcPr/>
          <w:p>
            <w:pPr>
              <w:pStyle w:val="Compact"/>
            </w:pPr>
          </w:p>
        </w:tc>
        <w:tc>
          <w:tcPr/>
          <w:p>
            <w:pPr>
              <w:pStyle w:val="Compact"/>
            </w:pPr>
          </w:p>
        </w:tc>
      </w:tr>
    </w:tbl>
    <w:bookmarkEnd w:id="119"/>
    <w:bookmarkStart w:id="128" w:name="Xf2848fda90cbf5119b1ac784f15161cd77b81c9"/>
    <w:p>
      <w:pPr>
        <w:pStyle w:val="Ttulo3"/>
      </w:pPr>
      <w:r>
        <w:t xml:space="preserve">Características de la Arquitectura de Servicios 2.0 del FNA</w:t>
      </w:r>
    </w:p>
    <w:bookmarkStart w:id="120" w:name="actualización-de-estilo-de-arquitectura"/>
    <w:p>
      <w:pPr>
        <w:pStyle w:val="Ttulo4"/>
      </w:pPr>
      <w:r>
        <w:t xml:space="preserve">Actualización de estilo de arquitectura</w:t>
      </w:r>
    </w:p>
    <w:p>
      <w:pPr>
        <w:pStyle w:val="FirstParagraph"/>
      </w:pPr>
      <w:r>
        <w:t xml:space="preserve">Promover el uso de microservicios como estilo de arquitectura para ser integrado con la estrategia SOA existente en el FNA​. Mas en particular, esto permite proponer esquemas de arquitectura desacopladas​, actualizar el portafolio de servicios del FNA con tecnologías actuales mediante un estilo de arquitectura orientada a microservicios​, y propender por la agilidad en el desarrollo de soluciones.</w:t>
      </w:r>
    </w:p>
    <w:bookmarkEnd w:id="120"/>
    <w:bookmarkStart w:id="121" w:name="Xd74984e6d7b026c2e3c5ca0523a832b900758cf"/>
    <w:p>
      <w:pPr>
        <w:pStyle w:val="Ttulo4"/>
      </w:pPr>
      <w:r>
        <w:t xml:space="preserve">Institucionalización del Portafolio de Servicios</w:t>
      </w:r>
    </w:p>
    <w:p>
      <w:pPr>
        <w:pStyle w:val="FirstParagraph"/>
      </w:pPr>
      <w:r>
        <w:t xml:space="preserve">Establecer un portafolio institucional de funcionalidades, recursos y datos expuestos en mayor parte por API que sirva a la vez como fuente única de la verdad sobre las versiones, tecnologías y operaciones funcionales del FNA. Esta característica allana ventajas tanto directas como la gestión y estructuración del portafolio de API del FNA​, como otras un tanto indirectas, como la definición de los contratos de las API, las tecnologías y los atributos de calidad de las API de la organización​.</w:t>
      </w:r>
    </w:p>
    <w:bookmarkEnd w:id="121"/>
    <w:bookmarkStart w:id="122" w:name="Xc6dd84937de76ad5a8c6617f7c73e7e362981af"/>
    <w:p>
      <w:pPr>
        <w:pStyle w:val="Ttulo4"/>
      </w:pPr>
      <w:r>
        <w:t xml:space="preserve">Modernización y robustez de la gestión de servicios</w:t>
      </w:r>
    </w:p>
    <w:p>
      <w:pPr>
        <w:pStyle w:val="FirstParagraph"/>
      </w:pPr>
      <w:r>
        <w:t xml:space="preserve">Mejorar de la comunicación, estabilidad (reintento y tolerancia a fallos) y la disponibilidad de servicios SOA y microservicios del Fondo Nacional mediante el uso de comunicadores (proxys). En cuanto a la gestión de servicios esta característica trae ventajas como la modernizar de los mecanismos de orquestación de servicios​, propone alternativas para el manejo de escalabilidad, seguridad y monitoreo de servicios​, y orienta la operación de servicios hacia la computación en la nube​.</w:t>
      </w:r>
    </w:p>
    <w:bookmarkEnd w:id="122"/>
    <w:bookmarkStart w:id="123" w:name="X5df8e74dd09f4a56e55c10003d15edf03df5ca6"/>
    <w:p>
      <w:pPr>
        <w:pStyle w:val="Ttulo4"/>
      </w:pPr>
      <w:r>
        <w:t xml:space="preserve">Redefinición de la integración de servicios y aplicaciones</w:t>
      </w:r>
    </w:p>
    <w:p>
      <w:pPr>
        <w:pStyle w:val="FirstParagraph"/>
      </w:pPr>
      <w:r>
        <w:t xml:space="preserve">Establecer un esquema de integración orientado a mensajes integrado a su vez con mecanismos de comunicación síncronos​. Esta característica potencializa el uso de la tecnología de integración instalada, esto es, el ESB del FNA, así como las soluciones de colas y mensajería), moderniza los esquemas de integración de la organización mediante la hibridación de modelos de comunicación (síncronos y asíncronos)​, y</w:t>
      </w:r>
      <w:r>
        <w:t xml:space="preserve"> </w:t>
      </w:r>
      <w:r>
        <w:rPr>
          <w:iCs/>
          <w:i/>
        </w:rPr>
        <w:t xml:space="preserve">propende por arquitecturas orientadas a eventos​</w:t>
      </w:r>
      <w:r>
        <w:t xml:space="preserve">.</w:t>
      </w:r>
    </w:p>
    <w:bookmarkEnd w:id="123"/>
    <w:bookmarkStart w:id="124" w:name="Xf08379253700601a3040d84e1af785cc89ba4a0"/>
    <w:p>
      <w:pPr>
        <w:pStyle w:val="Ttulo4"/>
      </w:pPr>
      <w:r>
        <w:t xml:space="preserve">Aumento del rendimiento en el transporte de datos y operaciones</w:t>
      </w:r>
    </w:p>
    <w:p>
      <w:pPr>
        <w:pStyle w:val="FirstParagraph"/>
      </w:pPr>
      <w:r>
        <w:t xml:space="preserve">Proveer una plataforma de datos de alta velocidad que intermedie entre el API Gateway y la Plataforma híbrida de integración, estas dos nuevas características antes descritas que la requieren. Además, esta mejora en el rendimiento viene a propicia mayor desacoplamiento de sistemas de información​, vienen a bajar la latencia de las consultas de información, y como ventaja a otros segmentos de la arquitectura del FNA, beneficia la alimentación a los repositorios analíticos.</w:t>
      </w:r>
    </w:p>
    <w:bookmarkEnd w:id="124"/>
    <w:bookmarkStart w:id="125" w:name="X3a2c660a24f4aa2aeab5a36e13437363f57a6da"/>
    <w:p>
      <w:pPr>
        <w:pStyle w:val="Ttulo4"/>
      </w:pPr>
      <w:r>
        <w:t xml:space="preserve">Conversión de datos a productos. Reestructuración de las entidades de datos de misión</w:t>
      </w:r>
    </w:p>
    <w:p>
      <w:pPr>
        <w:pStyle w:val="FirstParagraph"/>
      </w:pPr>
      <w:r>
        <w:t xml:space="preserve">Implementar una estrategia de datos que permita al FNA gestionar los datos del Crédito y Operaciones del FNA, actualmente cautivos en ERP misional, Cobis, como un activo consumible e independiente. El objeto es gestionar la información hacia el aumento del valor que el FNA obtiene de los datos actuales mediando por la posibilidad de aprovechar las oportunidades de uso y explotación sin incrementar los costos de inversión de tecnología ni los riesgos de desaprovechamiento (ver [Medidas de Efectividad de Costos de Inversión en Arquitectura] en producto siete (7), PR07, de este proyecto). Dentro de las ventajas que esta característica observa están el traducir las necesidades del negocio en requerimientos de datos y de sistemas de información, propiamente dichos, en favor de los procesos de negocio del FNA; allana el terreno de la Arquitectura Empresarial del FNA en cuanto al soporte de decisiones en particular de índole estratégico y operacional; extiende la empresa a otras (B2B) en tanto que estratifica la información que el Fondo Nacional expone a otras empresas –el concepto de producto de dato es afín a las tecnologías actuales.</w:t>
      </w:r>
    </w:p>
    <w:bookmarkEnd w:id="125"/>
    <w:bookmarkStart w:id="126" w:name="preservación-del-eje-de-datos-comunes"/>
    <w:p>
      <w:pPr>
        <w:pStyle w:val="Ttulo4"/>
      </w:pPr>
      <w:r>
        <w:t xml:space="preserve">Preservación del eje de datos comunes</w:t>
      </w:r>
    </w:p>
    <w:p>
      <w:pPr>
        <w:pStyle w:val="FirstParagraph"/>
      </w:pPr>
      <w:r>
        <w:t xml:space="preserve">Implementa la figura del dato compartido y la refuerza con herramientas para la gestión de estos datos compartidos. Los datos compartidos (una variedad en eficiencia del MDM) dan a conocer la información hegemónica de la empresa –exigible a toda la empresa–distinta de la intradepartamental, y prohíbe la redundancia de estos datos, beneficio que se extiende a los costos de integración de los datos​. La concentración de los datos compartidos se dirige hacia la creación de fuentes de información autorizada (propiedad por antonomasia de los datos maestros) y que colabora con otras iniciativas como las que persiguen la calidad​ de los datos en las empresas. En lo normativo también reporta avances para el FNA: esta característica observa el cumplimiento con Gobierno Digital de Colombia.</w:t>
      </w:r>
    </w:p>
    <w:bookmarkEnd w:id="126"/>
    <w:bookmarkStart w:id="127" w:name="X9d6c8b839ea6853926c866765a5e58b89f4ea0c"/>
    <w:p>
      <w:pPr>
        <w:pStyle w:val="Ttulo4"/>
      </w:pPr>
      <w:r>
        <w:t xml:space="preserve">Longevidad y escalabilidad: servicios dirigidos a la computación en la nube</w:t>
      </w:r>
    </w:p>
    <w:p>
      <w:pPr>
        <w:pStyle w:val="FirstParagraph"/>
      </w:pPr>
      <w:r>
        <w:t xml:space="preserve">De extrema importancia: esta característica agravar la problemática de dependencia a ningún otro proveedor, de nube en este caso. Esta característica, tal como está aquí propuesta, persigue los beneficios que esta modalidad de cómputo provee pero con una disposición prudente de los elementos de infraestructura suficiente para cuidar al Fondo Nacional de no caer en los extremos de la sobreingeniería de la nube y que preserva partes del contexto actual de la empresa. Sobre es consideración, busca elevar (no ceder) los niveles de eficiencia operativa y administrativa de las servicios y plataformas de infraestructura (IaaS, PaaS respectivamente), los de escalabilidad y los rendimiento mientras mantiene compatibilidades con el gobierno de TI del FNA. Los sustentos de esta característica son la adopción del enfoque de microservicios ​híbrido, local interno y remoto (nube), el uso y la orquestación de contenedores, y la migración hacia servicios administrados de nube (PaaS).</w:t>
      </w:r>
    </w:p>
    <w:p>
      <w:pPr>
        <w:pStyle w:val="Textoindependiente"/>
      </w:pPr>
    </w:p>
    <w:bookmarkEnd w:id="127"/>
    <w:bookmarkEnd w:id="128"/>
    <w:bookmarkEnd w:id="129"/>
    <w:bookmarkStart w:id="145"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134" w:name="pilares-de-la-malla-de-datos-data-mesh"/>
    <w:p>
      <w:pPr>
        <w:pStyle w:val="Ttulo3"/>
      </w:pPr>
      <w:r>
        <w:t xml:space="preserve">Pilares de la Malla de Datos (data mesh)</w:t>
      </w:r>
    </w:p>
    <w:bookmarkStart w:id="0" w:name="fig:3c07a4b8-7d01-45cf-8944-fa45c455371d"/>
    <w:p>
      <w:pPr>
        <w:pStyle w:val="CaptionedFigure"/>
      </w:pPr>
      <w:bookmarkStart w:id="133" w:name="fig:"/>
      <w:r>
        <w:drawing>
          <wp:inline>
            <wp:extent cx="5486400" cy="2743200"/>
            <wp:effectExtent b="0" l="0" r="0" t="0"/>
            <wp:docPr descr="Imagen 10: Malla de datos para el FNA" title="" id="131" name="Picture"/>
            <a:graphic>
              <a:graphicData uri="http://schemas.openxmlformats.org/drawingml/2006/picture">
                <pic:pic>
                  <pic:nvPicPr>
                    <pic:cNvPr descr="images/datimage1.png" id="132" name="Picture"/>
                    <pic:cNvPicPr>
                      <a:picLocks noChangeArrowheads="1" noChangeAspect="1"/>
                    </pic:cNvPicPr>
                  </pic:nvPicPr>
                  <pic:blipFill>
                    <a:blip r:embed="rId130"/>
                    <a:stretch>
                      <a:fillRect/>
                    </a:stretch>
                  </pic:blipFill>
                  <pic:spPr bwMode="auto">
                    <a:xfrm>
                      <a:off x="0" y="0"/>
                      <a:ext cx="5486400" cy="2743200"/>
                    </a:xfrm>
                    <a:prstGeom prst="rect">
                      <a:avLst/>
                    </a:prstGeom>
                    <a:noFill/>
                    <a:ln w="9525">
                      <a:noFill/>
                      <a:headEnd/>
                      <a:tailEnd/>
                    </a:ln>
                  </pic:spPr>
                </pic:pic>
              </a:graphicData>
            </a:graphic>
          </wp:inline>
        </w:drawing>
      </w:r>
      <w:bookmarkEnd w:id="133"/>
    </w:p>
    <w:p>
      <w:pPr>
        <w:pStyle w:val="ImageCaption"/>
      </w:pPr>
      <w:r>
        <w:t xml:space="preserve">Imagen 10: Malla de datos para el FNA</w:t>
      </w:r>
    </w:p>
    <w:bookmarkEnd w:id="0"/>
    <w:bookmarkEnd w:id="134"/>
    <w:bookmarkStart w:id="143"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 capacidades para el gobierno de datos, arquitectura de datos, diseño y modelamiento de datos, operaciones y almacenamiento de datos, seguridad de datos, interoperatividad e integración de datos, gestión documental y contenido, datos maestros y de referencia, inteligencia de negocios y analítica, metadatos y calidad de datos.</w:t>
      </w:r>
    </w:p>
    <w:bookmarkStart w:id="0" w:name="fig:412e597f-05e8-43ad-8f15-9f963a785672"/>
    <w:p>
      <w:pPr>
        <w:pStyle w:val="CaptionedFigure"/>
      </w:pPr>
      <w:bookmarkStart w:id="138" w:name="fig:"/>
      <w:r>
        <w:drawing>
          <wp:inline>
            <wp:extent cx="5486400" cy="3200400"/>
            <wp:effectExtent b="0" l="0" r="0" t="0"/>
            <wp:docPr descr="Imagen 11: Plano de Datos Objetivo del FNA" title="" id="136" name="Picture"/>
            <a:graphic>
              <a:graphicData uri="http://schemas.openxmlformats.org/drawingml/2006/picture">
                <pic:pic>
                  <pic:nvPicPr>
                    <pic:cNvPr descr="images/datimage2.png" id="137" name="Picture"/>
                    <pic:cNvPicPr>
                      <a:picLocks noChangeArrowheads="1" noChangeAspect="1"/>
                    </pic:cNvPicPr>
                  </pic:nvPicPr>
                  <pic:blipFill>
                    <a:blip r:embed="rId135"/>
                    <a:stretch>
                      <a:fillRect/>
                    </a:stretch>
                  </pic:blipFill>
                  <pic:spPr bwMode="auto">
                    <a:xfrm>
                      <a:off x="0" y="0"/>
                      <a:ext cx="5486400" cy="3200400"/>
                    </a:xfrm>
                    <a:prstGeom prst="rect">
                      <a:avLst/>
                    </a:prstGeom>
                    <a:noFill/>
                    <a:ln w="9525">
                      <a:noFill/>
                      <a:headEnd/>
                      <a:tailEnd/>
                    </a:ln>
                  </pic:spPr>
                </pic:pic>
              </a:graphicData>
            </a:graphic>
          </wp:inline>
        </w:drawing>
      </w:r>
      <w:bookmarkEnd w:id="138"/>
    </w:p>
    <w:p>
      <w:pPr>
        <w:pStyle w:val="ImageCaption"/>
      </w:pPr>
      <w:r>
        <w:t xml:space="preserve">Imagen 11: Plano de Datos Objetivo del FNA</w:t>
      </w:r>
    </w:p>
    <w:bookmarkEnd w:id="0"/>
    <w:p>
      <w:pPr>
        <w:pStyle w:val="Textoindependiente"/>
      </w:pPr>
      <w:r>
        <w:t xml:space="preserve">La Ilustración a continuación muestra los marcos de referencia aplicables al dominio de Información:</w:t>
      </w:r>
    </w:p>
    <w:bookmarkStart w:id="0" w:name="fig:236df9a8-dd43-40ac-b26e-20ce402077e4"/>
    <w:p>
      <w:pPr>
        <w:pStyle w:val="CaptionedFigure"/>
      </w:pPr>
      <w:bookmarkStart w:id="142" w:name="fig:"/>
      <w:r>
        <w:drawing>
          <wp:inline>
            <wp:extent cx="5486400" cy="2194560"/>
            <wp:effectExtent b="0" l="0" r="0" t="0"/>
            <wp:docPr descr="Imagen 12: Marcos de referencia aplicables a la arquitectura de información" title="" id="140" name="Picture"/>
            <a:graphic>
              <a:graphicData uri="http://schemas.openxmlformats.org/drawingml/2006/picture">
                <pic:pic>
                  <pic:nvPicPr>
                    <pic:cNvPr descr="images/datimage3.png" id="141" name="Picture"/>
                    <pic:cNvPicPr>
                      <a:picLocks noChangeArrowheads="1" noChangeAspect="1"/>
                    </pic:cNvPicPr>
                  </pic:nvPicPr>
                  <pic:blipFill>
                    <a:blip r:embed="rId139"/>
                    <a:stretch>
                      <a:fillRect/>
                    </a:stretch>
                  </pic:blipFill>
                  <pic:spPr bwMode="auto">
                    <a:xfrm>
                      <a:off x="0" y="0"/>
                      <a:ext cx="5486400" cy="2194560"/>
                    </a:xfrm>
                    <a:prstGeom prst="rect">
                      <a:avLst/>
                    </a:prstGeom>
                    <a:noFill/>
                    <a:ln w="9525">
                      <a:noFill/>
                      <a:headEnd/>
                      <a:tailEnd/>
                    </a:ln>
                  </pic:spPr>
                </pic:pic>
              </a:graphicData>
            </a:graphic>
          </wp:inline>
        </w:drawing>
      </w:r>
      <w:bookmarkEnd w:id="142"/>
    </w:p>
    <w:p>
      <w:pPr>
        <w:pStyle w:val="ImageCaption"/>
      </w:pPr>
      <w:r>
        <w:t xml:space="preserve">Imagen 12: Marcos de referencia aplicables a la arquitectura de información</w:t>
      </w:r>
    </w:p>
    <w:bookmarkEnd w:id="0"/>
    <w:bookmarkEnd w:id="143"/>
    <w:bookmarkStart w:id="144" w:name="Xd6cd0ce8984cb81bba8dcedc13cad8be90d8528"/>
    <w:p>
      <w:pPr>
        <w:pStyle w:val="Ttulo3"/>
      </w:pPr>
      <w:r>
        <w:t xml:space="preserve">Características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 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144"/>
    <w:bookmarkEnd w:id="145"/>
    <w:bookmarkStart w:id="151"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plataforma en la nube. Dentro de la oferta actual de componentes se pueden encontrar soluciones que permiten garantizar escalabilidad, disponibilidad, cumplimiento regulatorio y menores tiempos de salida al mercado.</w:t>
      </w:r>
    </w:p>
    <w:bookmarkStart w:id="149"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47" name="Picture"/>
            <a:graphic>
              <a:graphicData uri="http://schemas.openxmlformats.org/drawingml/2006/picture">
                <pic:pic>
                  <pic:nvPicPr>
                    <pic:cNvPr descr="./images/infrimage1.png" id="148" name="Picture"/>
                    <pic:cNvPicPr>
                      <a:picLocks noChangeArrowheads="1" noChangeAspect="1"/>
                    </pic:cNvPicPr>
                  </pic:nvPicPr>
                  <pic:blipFill>
                    <a:blip r:embed="rId146"/>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49"/>
    <w:bookmarkStart w:id="150" w:name="X162cc8fa49fef26fc151ba2ba3218ddc57209ec"/>
    <w:p>
      <w:pPr>
        <w:pStyle w:val="Ttulo3"/>
      </w:pPr>
      <w:r>
        <w:t xml:space="preserve">Características de la Arquitectura Tecnológica 2.0 del FNA</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1.fdeba74</w:t>
            </w:r>
            <w:r>
              <w:t xml:space="preserve"> </w:t>
            </w:r>
            <w:r>
              <w:t xml:space="preserve">del 09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50"/>
    <w:bookmarkEnd w:id="151"/>
    <w:bookmarkEnd w:id="152"/>
    <w:bookmarkStart w:id="163" w:name="X51927564b767785b2fd2a3d2357c40deefb26fc"/>
    <w:p>
      <w:pPr>
        <w:pStyle w:val="Ttulo1"/>
      </w:pPr>
      <w:r>
        <w:t xml:space="preserve">Consideraciones de Diseño de las Arquitecturas de Referencia del FNA</w:t>
      </w:r>
    </w:p>
    <w:p>
      <w:pPr>
        <w:pStyle w:val="FirstParagraph"/>
      </w:pPr>
      <w:r>
        <w:t xml:space="preserve">En esta sección ampliaremos las consideraciones dadas al FNA para la creación y mantenimiento de arquitecturas de referencia. En este caso daremos información que advierta las incorreciones de diseño de las que debe alejarse la empresa. Estos diseños problemáticos que describiremos aquí deben ser usadas para vigilar cada cambio en las arquitecturas del FNA, así como en las evaluaciones, y comparar estos cambios contra estas advertencias para luego determinar si los diseños (y soluciones e implementaciones) requieren acciones de remediación.</w:t>
      </w:r>
    </w:p>
    <w:bookmarkStart w:id="157" w:name="diseños-centrados-en-el-proveedor"/>
    <w:p>
      <w:pPr>
        <w:pStyle w:val="Ttulo2"/>
      </w:pPr>
      <w:r>
        <w:t xml:space="preserve">Diseños Centrados en el Proveedor</w:t>
      </w:r>
    </w:p>
    <w:p>
      <w:pPr>
        <w:pStyle w:val="FirstParagraph"/>
      </w:pPr>
      <w:r>
        <w:t xml:space="preserve">El principal diseño del que debe alejarse el FNA es todo aquel el que aumente la dependencia de proveedor. Es decir,</w:t>
      </w:r>
      <w:r>
        <w:t xml:space="preserve"> </w:t>
      </w:r>
      <w:r>
        <w:rPr>
          <w:iCs/>
          <w:i/>
        </w:rPr>
        <w:t xml:space="preserve">los diseños centrados en el proveedor son los problemáticos</w:t>
      </w:r>
      <w:r>
        <w:t xml:space="preserve">. Ejemplo de esto, y así diagnosticado en Fase I de esta consultoría, es el ERP Cobis. Este reúne más de nueve módulos de software, la mayoría relacionados con la misión del Fondo Nacional. Es por tanto un diseño problemático que el ERP esté en el centro de la empresa y tender relaciones directas a este desde otros puntos de la empresa.</w:t>
      </w:r>
    </w:p>
    <w:p>
      <w:pPr>
        <w:pStyle w:val="SourceCode"/>
      </w:pPr>
      <w:r>
        <w:rPr>
          <w:rStyle w:val="VerbatimChar"/>
        </w:rPr>
        <w:t xml:space="preserve">Nota: en este contexto, nos referimos a una perspectiva tecnológica de la empresa.</w:t>
      </w:r>
    </w:p>
    <w:p>
      <w:pPr>
        <w:pStyle w:val="FirstParagraph"/>
      </w:pPr>
      <w:r>
        <w:t xml:space="preserve">En el diagrama siguiente presentamos esta consideración de forma visual en la que queremos se aprecie el problema de tender relaciones directas desde los procesos de negocio a un proveedor tecnológico, COBIS.</w:t>
      </w:r>
    </w:p>
    <w:bookmarkStart w:id="0" w:name="fig:arqrefnegativa1.png"/>
    <w:p>
      <w:pPr>
        <w:pStyle w:val="CaptionedFigure"/>
      </w:pPr>
      <w:bookmarkStart w:id="156" w:name="fig:arqrefnegativa1.png"/>
      <w:r>
        <w:drawing>
          <wp:inline>
            <wp:extent cx="5486400" cy="2743200"/>
            <wp:effectExtent b="0" l="0" r="0" t="0"/>
            <wp:docPr descr="Imagen 13: Consideraciones de Diseño FNA. Acoplamiento y Dependencia al proveedor." title="" id="154" name="Picture"/>
            <a:graphic>
              <a:graphicData uri="http://schemas.openxmlformats.org/drawingml/2006/picture">
                <pic:pic>
                  <pic:nvPicPr>
                    <pic:cNvPr descr="images/arqrefnegativa1.png" id="155" name="Picture"/>
                    <pic:cNvPicPr>
                      <a:picLocks noChangeArrowheads="1" noChangeAspect="1"/>
                    </pic:cNvPicPr>
                  </pic:nvPicPr>
                  <pic:blipFill>
                    <a:blip r:embed="rId153"/>
                    <a:stretch>
                      <a:fillRect/>
                    </a:stretch>
                  </pic:blipFill>
                  <pic:spPr bwMode="auto">
                    <a:xfrm>
                      <a:off x="0" y="0"/>
                      <a:ext cx="5486400" cy="2743200"/>
                    </a:xfrm>
                    <a:prstGeom prst="rect">
                      <a:avLst/>
                    </a:prstGeom>
                    <a:noFill/>
                    <a:ln w="9525">
                      <a:noFill/>
                      <a:headEnd/>
                      <a:tailEnd/>
                    </a:ln>
                  </pic:spPr>
                </pic:pic>
              </a:graphicData>
            </a:graphic>
          </wp:inline>
        </w:drawing>
      </w:r>
      <w:bookmarkEnd w:id="156"/>
    </w:p>
    <w:p>
      <w:pPr>
        <w:pStyle w:val="ImageCaption"/>
      </w:pPr>
      <w:r>
        <w:t xml:space="preserve">Imagen 13: Consideraciones de Diseño FNA. Acoplamiento y Dependencia al proveedor.</w:t>
      </w:r>
    </w:p>
    <w:bookmarkEnd w:id="0"/>
    <w:p>
      <w:pPr>
        <w:pStyle w:val="Textoindependiente"/>
      </w:pPr>
      <w:r>
        <w:t xml:space="preserve">En la imagen: las relaciones directas que los procesos de negocio puedan tener con un proveedor son la causa de dos problemas: el acoplamiento al proveedor, lo que a su vez contribuye al problema de diseño que hemos llamado dependencia al proveedor.</w:t>
      </w:r>
    </w:p>
    <w:p>
      <w:pPr>
        <w:pStyle w:val="Textoindependiente"/>
      </w:pPr>
      <w:r>
        <w:t xml:space="preserve">Este mismo problema se presenta de forma indirecta cuando existe un intermediario entre las partes. Siguiendo con el ejemplo ilustrado arriba, un intermediario entre los procesos de negocio y el proveedor sea un bus empresarial, un integrador, proxie, o algún intermediario cualquiera de sus formas, comporta el mismo problema que denunciamos en este diseño centrado en el proveedor. La presencia de un intermediario no elimina la complicación del acoplamiento, solo lo soslaya, y al contrario, lo acrecienta.</w:t>
      </w:r>
    </w:p>
    <w:p>
      <w:pPr>
        <w:pStyle w:val="SourceCode"/>
      </w:pPr>
      <w:r>
        <w:rPr>
          <w:rStyle w:val="VerbatimChar"/>
        </w:rPr>
        <w:t xml:space="preserve">Nota: este mismo problema se presenta de forma indirecta cuando existe un intermediario entre las partes. La presencia de un intermediario no elimina este problema, solo lo esconde, y por tanto, lo acrecienta.</w:t>
      </w:r>
    </w:p>
    <w:bookmarkEnd w:id="157"/>
    <w:bookmarkStart w:id="162" w:name="diseños-de-capas-generales"/>
    <w:p>
      <w:pPr>
        <w:pStyle w:val="Ttulo2"/>
      </w:pPr>
      <w:r>
        <w:t xml:space="preserve">Diseños de Capas Generales</w:t>
      </w:r>
    </w:p>
    <w:p>
      <w:pPr>
        <w:pStyle w:val="FirstParagraph"/>
      </w:pPr>
      <w:r>
        <w:t xml:space="preserve">El diseño de capas, si bien es uno con los que inicia una arquitectura, comporta los problemas de la generalidad: no representa en realidad a ninguna arquitectura. Si consideramos a la arquitectura como la elección de una decisión de diseños sobre otra, la separación por capas genéricas no alcanza a realizar nada de eso. Este diseño no profundiza en ningún aspecto o problema a resolver, pero en cambio da la sensación de que sí, y ese es el problema.</w:t>
      </w:r>
    </w:p>
    <w:p>
      <w:pPr>
        <w:pStyle w:val="Textoindependiente"/>
      </w:pPr>
      <w:r>
        <w:t xml:space="preserve">En este diagrama presentamos esta consideración de forma visual. Debemos observar que el diseño de capas sí organiza y prepara a una posterior arquitectura ante un problema, sea de flexibilidad, despliegue, etc., pero no está tomando decisiones más allá de eso.</w:t>
      </w:r>
    </w:p>
    <w:bookmarkStart w:id="0" w:name="fig:arqrefnegativa2.png"/>
    <w:p>
      <w:pPr>
        <w:pStyle w:val="CaptionedFigure"/>
      </w:pPr>
      <w:bookmarkStart w:id="161" w:name="fig:arqrefnegativa2.png"/>
      <w:r>
        <w:drawing>
          <wp:inline>
            <wp:extent cx="5486400" cy="2743200"/>
            <wp:effectExtent b="0" l="0" r="0" t="0"/>
            <wp:docPr descr="Imagen 14: Consideraciones de Diseño FNA. Capas genéricas, sin arquitectura. Preparan (organizan) un sistema información, servicio o componente de software para la arquitectura." title="" id="159" name="Picture"/>
            <a:graphic>
              <a:graphicData uri="http://schemas.openxmlformats.org/drawingml/2006/picture">
                <pic:pic>
                  <pic:nvPicPr>
                    <pic:cNvPr descr="images/arqrefnegativa2.png" id="160" name="Picture"/>
                    <pic:cNvPicPr>
                      <a:picLocks noChangeArrowheads="1" noChangeAspect="1"/>
                    </pic:cNvPicPr>
                  </pic:nvPicPr>
                  <pic:blipFill>
                    <a:blip r:embed="rId158"/>
                    <a:stretch>
                      <a:fillRect/>
                    </a:stretch>
                  </pic:blipFill>
                  <pic:spPr bwMode="auto">
                    <a:xfrm>
                      <a:off x="0" y="0"/>
                      <a:ext cx="5486400" cy="2743200"/>
                    </a:xfrm>
                    <a:prstGeom prst="rect">
                      <a:avLst/>
                    </a:prstGeom>
                    <a:noFill/>
                    <a:ln w="9525">
                      <a:noFill/>
                      <a:headEnd/>
                      <a:tailEnd/>
                    </a:ln>
                  </pic:spPr>
                </pic:pic>
              </a:graphicData>
            </a:graphic>
          </wp:inline>
        </w:drawing>
      </w:r>
      <w:bookmarkEnd w:id="161"/>
    </w:p>
    <w:p>
      <w:pPr>
        <w:pStyle w:val="ImageCaption"/>
      </w:pPr>
      <w:r>
        <w:t xml:space="preserve">Imagen 14: Consideraciones de Diseño FNA. Capas genéricas, sin arquitectura. Preparan (organizan) un sistema información, servicio o componente de software para la arquitectura.</w:t>
      </w:r>
    </w:p>
    <w:bookmarkEnd w:id="0"/>
    <w:p>
      <w:pPr>
        <w:pStyle w:val="Textoindependiente"/>
      </w:pPr>
      <w:r>
        <w:t xml:space="preserve">El FNA debe alejarse de los diseños generales que funcionan solamente como una organización base que carece de arquitectura (decisiones). Estos diseños no aportan ni resuelven un problema específico y son apenas una forma de organización de las partes de un sistema de información, pero no una arquitectura como la conocemos en este contexto.</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Vistas lógicas y conceptuales de las arquitecturas de referencia del FNA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1.fdeba74</w:t>
            </w:r>
            <w:r>
              <w:t xml:space="preserve"> </w:t>
            </w:r>
            <w:r>
              <w:t xml:space="preserve">del 09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62"/>
    <w:bookmarkEnd w:id="163"/>
    <w:bookmarkStart w:id="165" w:name="Xc76c05f0d4a72b8715954b097b0e408889e457e"/>
    <w:p>
      <w:pPr>
        <w:pStyle w:val="Ttulo1"/>
      </w:pPr>
      <w:r>
        <w:t xml:space="preserve">Vistas Lógicas y Conceptuales de las Arquitecturas de Referencia del FNA</w:t>
      </w:r>
    </w:p>
    <w:p>
      <w:pPr>
        <w:pStyle w:val="FirstParagraph"/>
      </w:pPr>
      <w:r>
        <w:t xml:space="preserve">En cumplimiento con el alcance (y las restricciones de tiempo del proyecto actual), en esta sección desarrollaremos el conjunto de vistas fundamentales al que llamamos arquitecturas de referencia del FNA.</w:t>
      </w:r>
    </w:p>
    <w:bookmarkStart w:id="164" w:name="X597d6fea2fc61612fa058e8d452892296015baf"/>
    <w:p>
      <w:pPr>
        <w:pStyle w:val="Ttulo2"/>
      </w:pPr>
      <w:r>
        <w:t xml:space="preserve">Arquitectura de Servicios SOA, Versión 2.0: microservicios y malla de servicios</w:t>
      </w:r>
    </w:p>
    <w:p>
      <w:pPr>
        <w:pStyle w:val="FirstParagraph"/>
      </w:pPr>
      <w:r>
        <w:t xml:space="preserve">Tomando como entrada el contexto del FNA, presentamos una organización de componentes que enfrenta las problemáticas identificadas en diagnósticos anteriores (Fase I). Esto es, la siguiente arquitectura de servicios optimiza las siguientes características en beneficio particular del FNA:</w:t>
      </w:r>
    </w:p>
    <w:p>
      <w:pPr>
        <w:numPr>
          <w:ilvl w:val="0"/>
          <w:numId w:val="1014"/>
        </w:numPr>
        <w:pStyle w:val="Compact"/>
      </w:pPr>
      <w:r>
        <w:t xml:space="preserve">Mejorar la estabilidad, el reintento la tolerancia a fallos y la disponibilidad de servicios SOA y los microservicios del Fondo Nacional mediante el uso de proxy</w:t>
      </w:r>
    </w:p>
    <w:p>
      <w:pPr>
        <w:numPr>
          <w:ilvl w:val="0"/>
          <w:numId w:val="1014"/>
        </w:numPr>
        <w:pStyle w:val="Compact"/>
      </w:pPr>
      <w:r>
        <w:t xml:space="preserve">Modernizar los mecanismos de orquestación de servicios con arreglo en el estilo de arquitectura de solución orientada a servicios y a eventos</w:t>
      </w:r>
    </w:p>
    <w:p>
      <w:pPr>
        <w:numPr>
          <w:ilvl w:val="0"/>
          <w:numId w:val="1014"/>
        </w:numPr>
        <w:pStyle w:val="Compact"/>
      </w:pPr>
      <w:r>
        <w:t xml:space="preserve">Independiza las acciones de escalabilidad, seguridad y monitoreo de servicios, de acuerdo con el estilo de arquitectura de solución orientada a servicios</w:t>
      </w:r>
    </w:p>
    <w:p>
      <w:pPr>
        <w:numPr>
          <w:ilvl w:val="0"/>
          <w:numId w:val="1014"/>
        </w:numPr>
        <w:pStyle w:val="Compact"/>
      </w:pPr>
      <w:r>
        <w:t xml:space="preserve">Persigue el esquema de operación de servicios orientados a la nube</w:t>
      </w:r>
    </w:p>
    <w:p>
      <w:pPr>
        <w:numPr>
          <w:ilvl w:val="0"/>
          <w:numId w:val="1014"/>
        </w:numPr>
        <w:pStyle w:val="Compact"/>
      </w:pPr>
      <w:r>
        <w:t xml:space="preserve">Tiene afinidad con el patrón de malla de servicios (service-mesh), Control Plan – Data Plane en la imagen</w:t>
      </w:r>
    </w:p>
    <w:p>
      <w:pPr>
        <w:numPr>
          <w:ilvl w:val="0"/>
          <w:numId w:val="1014"/>
        </w:numPr>
        <w:pStyle w:val="Compact"/>
      </w:pPr>
      <w:r>
        <w:t xml:space="preserve">Mejorar proceso de diseño y construcción de soluciones orientadas a servicios</w:t>
      </w:r>
    </w:p>
    <w:p>
      <w:pPr>
        <w:numPr>
          <w:ilvl w:val="0"/>
          <w:numId w:val="1014"/>
        </w:numPr>
        <w:pStyle w:val="Compact"/>
      </w:pPr>
      <w:r>
        <w:t xml:space="preserve">Optimizar el proceso de construcción de soluciones orientadas a servicios</w:t>
      </w:r>
    </w:p>
    <w:p>
      <w:pPr>
        <w:numPr>
          <w:ilvl w:val="0"/>
          <w:numId w:val="1014"/>
        </w:numPr>
        <w:pStyle w:val="Compact"/>
      </w:pPr>
      <w:r>
        <w:t xml:space="preserve">Unificar el proceso de construcción y ofrecer un lenguaje común con el negocio y entidades del sector</w:t>
      </w:r>
    </w:p>
    <w:p>
      <w:pPr>
        <w:numPr>
          <w:ilvl w:val="0"/>
          <w:numId w:val="1014"/>
        </w:numPr>
        <w:pStyle w:val="Compact"/>
      </w:pPr>
      <w:r>
        <w:t xml:space="preserve">Mejorar la oferta de servicios analíticos en el segmento del Fondo Nacional del Ahorro</w:t>
      </w:r>
    </w:p>
    <w:p>
      <w:pPr>
        <w:numPr>
          <w:ilvl w:val="0"/>
          <w:numId w:val="1014"/>
        </w:numPr>
        <w:pStyle w:val="Compact"/>
      </w:pPr>
      <w:r>
        <w:t xml:space="preserve">Incrementar el nivel de utilización de la Tecnología SOA del Fondo Nacional del Ahorro</w:t>
      </w:r>
    </w:p>
    <w:p>
      <w:pPr>
        <w:numPr>
          <w:ilvl w:val="0"/>
          <w:numId w:val="1014"/>
        </w:numPr>
        <w:pStyle w:val="Compact"/>
      </w:pPr>
      <w:r>
        <w:t xml:space="preserve">Soportar la ejecución (rediseño) de los procesos de negocio Fondo Nacional del Ahorro, guiados por la arquitectura 2.0</w:t>
      </w:r>
    </w:p>
    <w:p>
      <w:pPr>
        <w:numPr>
          <w:ilvl w:val="0"/>
          <w:numId w:val="1014"/>
        </w:numPr>
        <w:pStyle w:val="Compact"/>
      </w:pPr>
      <w:r>
        <w:t xml:space="preserve">Mejorar el tiempo de puesta en producción</w:t>
      </w:r>
    </w:p>
    <w:p>
      <w:pPr>
        <w:numPr>
          <w:ilvl w:val="0"/>
          <w:numId w:val="1014"/>
        </w:numPr>
        <w:pStyle w:val="Compact"/>
      </w:pPr>
      <w:r>
        <w:t xml:space="preserve">Modernizar las soluciones orientadas a servicios, mediante la gestión de tecnologías de arquitectura 2.0</w:t>
      </w:r>
    </w:p>
    <w:p>
      <w:pPr>
        <w:numPr>
          <w:ilvl w:val="0"/>
          <w:numId w:val="1014"/>
        </w:numPr>
        <w:pStyle w:val="Compact"/>
      </w:pPr>
      <w:r>
        <w:t xml:space="preserve">Gobierno y gestión de la tecnología orientada a servicios por la arquitectura 2.0</w:t>
      </w:r>
    </w:p>
    <w:p>
      <w:pPr>
        <w:numPr>
          <w:ilvl w:val="0"/>
          <w:numId w:val="1014"/>
        </w:numPr>
        <w:pStyle w:val="Compact"/>
      </w:pPr>
      <w:r>
        <w:t xml:space="preserve">Activar las herramientas de monitoreo de los servicios e indicadores de eficacia y desempeño de los procesos en el marco del Gobierno SOA</w:t>
      </w:r>
    </w:p>
    <w:p>
      <w:pPr>
        <w:numPr>
          <w:ilvl w:val="0"/>
          <w:numId w:val="1014"/>
        </w:numPr>
        <w:pStyle w:val="Compact"/>
      </w:pPr>
      <w:r>
        <w:t xml:space="preserve">Articulación y fortalecimiento del equipo de arquitectura del FNA junto a proveedores Institucionalizar oficina de arquitectura</w:t>
      </w:r>
    </w:p>
    <w:p>
      <w:pPr>
        <w:numPr>
          <w:ilvl w:val="0"/>
          <w:numId w:val="1014"/>
        </w:numPr>
        <w:pStyle w:val="Compact"/>
      </w:pPr>
      <w:r>
        <w:t xml:space="preserve">Estructurar equipo de arquitectos SOA, aplicaciones, TI y datos</w:t>
      </w:r>
    </w:p>
    <w:p>
      <w:pPr>
        <w:numPr>
          <w:ilvl w:val="0"/>
          <w:numId w:val="1014"/>
        </w:numPr>
        <w:pStyle w:val="Compact"/>
      </w:pPr>
      <w:r>
        <w:t xml:space="preserve">Monitoreo de los indicadores de eficacia del portafolio servicios del Fondo Nacional del Ahorro</w:t>
      </w:r>
    </w:p>
    <w:p>
      <w:pPr>
        <w:numPr>
          <w:ilvl w:val="0"/>
          <w:numId w:val="1014"/>
        </w:numPr>
        <w:pStyle w:val="Compact"/>
      </w:pPr>
      <w:r>
        <w:t xml:space="preserve">Mejorar indicadores de eficacia y madurez SOA. Indicadores de cobertura, alineación y flexibilidad de negocio</w:t>
      </w:r>
    </w:p>
    <w:p>
      <w:pPr>
        <w:pStyle w:val="FirstParagraph"/>
      </w:pPr>
    </w:p>
    <w:p>
      <w:r>
        <w:br w:type="page"/>
      </w:r>
    </w:p>
    <w:bookmarkEnd w:id="164"/>
    <w:bookmarkEnd w:id="165"/>
    <w:bookmarkStart w:id="177" w:name="referencias"/>
    <w:p>
      <w:pPr>
        <w:pStyle w:val="Ttulo1"/>
      </w:pPr>
      <w:r>
        <w:t xml:space="preserve">Referencias</w:t>
      </w:r>
    </w:p>
    <w:bookmarkStart w:id="17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6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66">
        <w:r>
          <w:rPr>
            <w:rStyle w:val="Hipervnculo"/>
          </w:rPr>
          <w:t xml:space="preserve">https://hwong23.github.io/fna-devdoc-f1/v/6497aef0f15c3591f0728e4c42cb2c26c13b43aa/</w:t>
        </w:r>
      </w:hyperlink>
    </w:p>
    <w:bookmarkEnd w:id="167"/>
    <w:bookmarkStart w:id="168"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66">
        <w:r>
          <w:rPr>
            <w:rStyle w:val="Hipervnculo"/>
          </w:rPr>
          <w:t xml:space="preserve">https://hwong23.github.io/fna-devdoc-f1/v/6497aef0f15c3591f0728e4c42cb2c26c13b43aa/</w:t>
        </w:r>
      </w:hyperlink>
    </w:p>
    <w:bookmarkEnd w:id="168"/>
    <w:bookmarkStart w:id="169"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66">
        <w:r>
          <w:rPr>
            <w:rStyle w:val="Hipervnculo"/>
          </w:rPr>
          <w:t xml:space="preserve">https://hwong23.github.io/fna-devdoc-f1/v/6497aef0f15c3591f0728e4c42cb2c26c13b43aa/</w:t>
        </w:r>
      </w:hyperlink>
    </w:p>
    <w:bookmarkEnd w:id="169"/>
    <w:bookmarkStart w:id="171"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70">
        <w:r>
          <w:rPr>
            <w:rStyle w:val="Hipervnculo"/>
          </w:rPr>
          <w:t xml:space="preserve">https://pubs.opengroup.org/architecture/togaf9-doc/arch/chap27.html</w:t>
        </w:r>
      </w:hyperlink>
    </w:p>
    <w:bookmarkEnd w:id="171"/>
    <w:bookmarkStart w:id="172"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70">
        <w:r>
          <w:rPr>
            <w:rStyle w:val="Hipervnculo"/>
          </w:rPr>
          <w:t xml:space="preserve">https://pubs.opengroup.org/architecture/togaf9-doc/arch/chap27.html</w:t>
        </w:r>
      </w:hyperlink>
    </w:p>
    <w:bookmarkEnd w:id="172"/>
    <w:bookmarkStart w:id="174"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73">
        <w:r>
          <w:rPr>
            <w:rStyle w:val="Hipervnculo"/>
          </w:rPr>
          <w:t xml:space="preserve">https://hwong23.github.io/fna-dd-f2-e1/</w:t>
        </w:r>
      </w:hyperlink>
    </w:p>
    <w:bookmarkEnd w:id="174"/>
    <w:bookmarkStart w:id="17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73">
        <w:r>
          <w:rPr>
            <w:rStyle w:val="Hipervnculo"/>
          </w:rPr>
          <w:t xml:space="preserve">https://hwong23.github.io/fna-dd-f2-e1/</w:t>
        </w:r>
      </w:hyperlink>
    </w:p>
    <w:bookmarkEnd w:id="175"/>
    <w:bookmarkEnd w:id="176"/>
    <w:bookmarkEnd w:id="17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46" Target="media/rId146.png" /><Relationship Type="http://schemas.openxmlformats.org/officeDocument/2006/relationships/image" Id="rId101" Target="media/rId101.png" /><Relationship Type="http://schemas.openxmlformats.org/officeDocument/2006/relationships/image" Id="rId106" Target="media/rId106.png" /><Relationship Type="http://schemas.openxmlformats.org/officeDocument/2006/relationships/image" Id="rId111" Target="media/rId111.png" /><Relationship Type="http://schemas.openxmlformats.org/officeDocument/2006/relationships/image" Id="rId116" Target="media/rId116.png" /><Relationship Type="http://schemas.openxmlformats.org/officeDocument/2006/relationships/image" Id="rId93" Target="media/rId93.png" /><Relationship Type="http://schemas.openxmlformats.org/officeDocument/2006/relationships/image" Id="rId82" Target="media/rId82.png" /><Relationship Type="http://schemas.openxmlformats.org/officeDocument/2006/relationships/image" Id="rId77" Target="media/rId77.png" /><Relationship Type="http://schemas.openxmlformats.org/officeDocument/2006/relationships/image" Id="rId87" Target="media/rId87.png" /><Relationship Type="http://schemas.openxmlformats.org/officeDocument/2006/relationships/image" Id="rId153" Target="media/rId153.png" /><Relationship Type="http://schemas.openxmlformats.org/officeDocument/2006/relationships/image" Id="rId158" Target="media/rId158.png" /><Relationship Type="http://schemas.openxmlformats.org/officeDocument/2006/relationships/image" Id="rId130" Target="media/rId130.png" /><Relationship Type="http://schemas.openxmlformats.org/officeDocument/2006/relationships/image" Id="rId135" Target="media/rId135.png" /><Relationship Type="http://schemas.openxmlformats.org/officeDocument/2006/relationships/image" Id="rId139" Target="media/rId139.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44" Target="media/rId44.png" /><Relationship Type="http://schemas.openxmlformats.org/officeDocument/2006/relationships/image" Id="rId35" Target="media/rId35.png" /><Relationship Type="http://schemas.openxmlformats.org/officeDocument/2006/relationships/hyperlink" Id="rId49"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73" Target="https://hwong23.github.io/fna-dd-f2-e1/" TargetMode="External" /><Relationship Type="http://schemas.openxmlformats.org/officeDocument/2006/relationships/hyperlink" Id="rId20" Target="https://hwong23.github.io/fna-dd-f2-pry2-e1/v/fdeba7447941cd67c4e59326e92a4b93fa954443/" TargetMode="External" /><Relationship Type="http://schemas.openxmlformats.org/officeDocument/2006/relationships/hyperlink" Id="rId166" Target="https://hwong23.github.io/fna-devdoc-f1/v/6497aef0f15c3591f0728e4c42cb2c26c13b43aa/" TargetMode="External" /><Relationship Type="http://schemas.openxmlformats.org/officeDocument/2006/relationships/hyperlink" Id="rId17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9"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73" Target="https://hwong23.github.io/fna-dd-f2-e1/" TargetMode="External" /><Relationship Type="http://schemas.openxmlformats.org/officeDocument/2006/relationships/hyperlink" Id="rId20" Target="https://hwong23.github.io/fna-dd-f2-pry2-e1/v/fdeba7447941cd67c4e59326e92a4b93fa954443/" TargetMode="External" /><Relationship Type="http://schemas.openxmlformats.org/officeDocument/2006/relationships/hyperlink" Id="rId166" Target="https://hwong23.github.io/fna-devdoc-f1/v/6497aef0f15c3591f0728e4c42cb2c26c13b43aa/" TargetMode="External" /><Relationship Type="http://schemas.openxmlformats.org/officeDocument/2006/relationships/hyperlink" Id="rId17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2023-08-09T10:42:36Z</dcterms:created>
  <dcterms:modified xsi:type="dcterms:W3CDTF">2023-08-09T10:42:36Z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Diseño detallado y vistas funcional, despliegue, información, integración y tecnología​</vt:lpwstr>
  </property>
  <property fmtid="{D5CDD505-2E9C-101B-9397-08002B2CF9AE}" pid="18" name="references">
    <vt:lpwstr/>
  </property>
  <property fmtid="{D5CDD505-2E9C-101B-9397-08002B2CF9AE}" pid="19" name="tablenos-caption-name">
    <vt:lpwstr>Tabla</vt:lpwstr>
  </property>
</Properties>
</file>