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27 Jul 2023</w:t>
      </w:r>
    </w:p>
    <w:p>
      <w:pPr>
        <w:pStyle w:val="Textodebloque"/>
      </w:pPr>
      <w:r>
        <w:rPr>
          <w:bCs/>
          <w:b/>
        </w:rPr>
        <w:t xml:space="preserve">Versión</w:t>
      </w:r>
      <w:r>
        <w:t xml:space="preserve"> </w:t>
      </w:r>
      <w:r>
        <w:t xml:space="preserve">1.fb1ae35</w:t>
      </w:r>
    </w:p>
    <w:p>
      <w:pPr>
        <w:pStyle w:val="FirstParagraph"/>
      </w:pPr>
    </w:p>
    <w:bookmarkStart w:id="27" w:name="producto-13-pr13."/>
    <w:p>
      <w:pPr>
        <w:pStyle w:val="Ttulo1"/>
      </w:pPr>
      <w:r>
        <w:t xml:space="preserve">Producto 13: PR13.</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644083c2-1f14-4308-a8f6-307ebed51e8b"/>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6" w:name="modelo-de-implementación-del-pry01"/>
    <w:p>
      <w:pPr>
        <w:pStyle w:val="Ttulo2"/>
      </w:pPr>
      <w:r>
        <w:t xml:space="preserve">Modelo de Implementación del PRY01</w:t>
      </w:r>
    </w:p>
    <w:bookmarkStart w:id="0" w:name="fig:50a49ff9-3464-4b3e-add6-52a2428c5d86"/>
    <w:p>
      <w:pPr>
        <w:pStyle w:val="FirstParagraph"/>
      </w:pPr>
      <w:bookmarkStart w:id="25" w:name="fig:"/>
      <w:r>
        <w:t xml:space="preserve">Figure 2: Plan de Implementación del Proyecto Gobierno SOA del FNA (PRY01), 2023. Junio 2023 a julio 2023</w:t>
      </w:r>
      <w:bookmarkEnd w:id="25"/>
    </w:p>
    <w:bookmarkEnd w:id="0"/>
    <w:p>
      <w:pPr>
        <w:pStyle w:val="Textoindependiente"/>
      </w:pPr>
      <w:r>
        <w:rPr>
          <w:iCs/>
          <w:i/>
        </w:rPr>
        <w:t xml:space="preserve">Fuente: Elaboración propia.</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2023-07-27T18:03:42Z</dcterms:created>
  <dcterms:modified xsi:type="dcterms:W3CDTF">2023-07-27T18:03:42Z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