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1.ef87f78</w:t>
      </w:r>
    </w:p>
    <w:p>
      <w:pPr>
        <w:pStyle w:val="FirstParagraph"/>
      </w:pPr>
    </w:p>
    <w:bookmarkStart w:id="33"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20"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20"/>
    <w:bookmarkStart w:id="21" w:name="contenidos"/>
    <w:p>
      <w:pPr>
        <w:pStyle w:val="Ttulo2"/>
      </w:pPr>
      <w:r>
        <w:t xml:space="preserve">Contenidos</w:t>
      </w:r>
    </w:p>
    <w:p>
      <w:pPr>
        <w:numPr>
          <w:ilvl w:val="0"/>
          <w:numId w:val="1001"/>
        </w:numPr>
        <w:pStyle w:val="Compact"/>
      </w:pPr>
      <w:r>
        <w:t xml:space="preserve">Análisis de los elementos del modelo de la arquitectura de referencia SOA 2.0 del FNA</w:t>
      </w:r>
    </w:p>
    <w:p>
      <w:pPr>
        <w:numPr>
          <w:ilvl w:val="0"/>
          <w:numId w:val="1001"/>
        </w:numPr>
        <w:pStyle w:val="Compact"/>
      </w:pPr>
      <w:r>
        <w:t xml:space="preserve">Repositorio de arquitectura del FNA actualizado con arquitectura de referencia</w:t>
      </w:r>
    </w:p>
    <w:p>
      <w:pPr>
        <w:numPr>
          <w:ilvl w:val="0"/>
          <w:numId w:val="1001"/>
        </w:numPr>
        <w:pStyle w:val="Compact"/>
      </w:pPr>
      <w:r>
        <w:t xml:space="preserve">Documentación técnica 0.2 de la arquitectura de referencia SOA</w:t>
      </w:r>
    </w:p>
    <w:p>
      <w:pPr>
        <w:numPr>
          <w:ilvl w:val="0"/>
          <w:numId w:val="1001"/>
        </w:numPr>
        <w:pStyle w:val="Compact"/>
      </w:pPr>
      <w:r>
        <w:t xml:space="preserve">Proceso de mantenimiento de la arquitectura de referencia SOA 2.0 del FNA</w:t>
      </w:r>
    </w:p>
    <w:p>
      <w:pPr>
        <w:pStyle w:val="FirstParagraph"/>
      </w:pPr>
    </w:p>
    <w:bookmarkEnd w:id="21"/>
    <w:bookmarkStart w:id="22" w:name="criterios-de-aceptación"/>
    <w:p>
      <w:pPr>
        <w:pStyle w:val="Ttulo2"/>
      </w:pPr>
      <w:r>
        <w:t xml:space="preserve">Criterios de Aceptación</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Entendimiento del proceso de mantenimiento de la arquitectura de referencia SOA 2.0 del FNA y sus implicaciones</w:t>
      </w:r>
    </w:p>
    <w:p>
      <w:pPr>
        <w:pStyle w:val="FirstParagraph"/>
      </w:pPr>
    </w:p>
    <w:bookmarkEnd w:id="22"/>
    <w:bookmarkStart w:id="27" w:name="X2260ad506a532d59ca3165e327d1d5490ed12e5"/>
    <w:p>
      <w:pPr>
        <w:pStyle w:val="Ttulo2"/>
      </w:pPr>
      <w:r>
        <w:t xml:space="preserve">Repositorio de Arquitectura del FNA, versión 0.1</w:t>
      </w:r>
    </w:p>
    <w:bookmarkStart w:id="0" w:name="fig:7f711b14-710a-4c6c-807b-79354924e43c"/>
    <w:p>
      <w:pPr>
        <w:pStyle w:val="CaptionedFigure"/>
      </w:pPr>
      <w:bookmarkStart w:id="26" w:name="fig:"/>
      <w:r>
        <w:drawing>
          <wp:inline>
            <wp:extent cx="5600700" cy="2790366"/>
            <wp:effectExtent b="0" l="0" r="0" t="0"/>
            <wp:docPr descr="Figure 1: Artefactos del repositorio de arquitectura del FNA." title="" id="24" name="Picture"/>
            <a:graphic>
              <a:graphicData uri="http://schemas.openxmlformats.org/drawingml/2006/picture">
                <pic:pic>
                  <pic:nvPicPr>
                    <pic:cNvPr descr="images/repofna.png" id="25" name="Picture"/>
                    <pic:cNvPicPr>
                      <a:picLocks noChangeArrowheads="1" noChangeAspect="1"/>
                    </pic:cNvPicPr>
                  </pic:nvPicPr>
                  <pic:blipFill>
                    <a:blip r:embed="rId23"/>
                    <a:stretch>
                      <a:fillRect/>
                    </a:stretch>
                  </pic:blipFill>
                  <pic:spPr bwMode="auto">
                    <a:xfrm>
                      <a:off x="0" y="0"/>
                      <a:ext cx="5600700" cy="2790366"/>
                    </a:xfrm>
                    <a:prstGeom prst="rect">
                      <a:avLst/>
                    </a:prstGeom>
                    <a:noFill/>
                    <a:ln w="9525">
                      <a:noFill/>
                      <a:headEnd/>
                      <a:tailEnd/>
                    </a:ln>
                  </pic:spPr>
                </pic:pic>
              </a:graphicData>
            </a:graphic>
          </wp:inline>
        </w:drawing>
      </w:r>
      <w:bookmarkEnd w:id="26"/>
    </w:p>
    <w:p>
      <w:pPr>
        <w:pStyle w:val="ImageCaption"/>
      </w:pPr>
      <w:r>
        <w:t xml:space="preserve">Figure 1: Artefactos del repositorio de arquitectura del FNA.</w:t>
      </w:r>
    </w:p>
    <w:bookmarkEnd w:id="0"/>
    <w:p>
      <w:pPr>
        <w:pStyle w:val="Textoindependiente"/>
      </w:pPr>
      <w:r>
        <w:rPr>
          <w:iCs/>
          <w:i/>
        </w:rPr>
        <w:t xml:space="preserve">Fuente: Diagnóstico SOA. E-Service (2022).</w:t>
      </w:r>
    </w:p>
    <w:bookmarkEnd w:id="27"/>
    <w:bookmarkStart w:id="32" w:name="modelo-de-implementación-del-pry02"/>
    <w:p>
      <w:pPr>
        <w:pStyle w:val="Ttulo2"/>
      </w:pPr>
      <w:r>
        <w:t xml:space="preserve">Modelo de Implementación del PRY02</w:t>
      </w:r>
    </w:p>
    <w:bookmarkStart w:id="0" w:name="fig:882886be-5289-4cc9-83d6-a6844f452735"/>
    <w:p>
      <w:pPr>
        <w:pStyle w:val="CaptionedFigure"/>
      </w:pPr>
      <w:bookmarkStart w:id="31" w:name="fig:"/>
      <w:r>
        <w:drawing>
          <wp:inline>
            <wp:extent cx="5600700" cy="4264411"/>
            <wp:effectExtent b="0" l="0" r="0" t="0"/>
            <wp:docPr descr="Figure 2: Plan de Implementación del Proyecto Arquitectura de Referencia SOA 2.0 del FNA (PRY02), 2023. Junio 2023 a julio 2023" title="" id="29" name="Picture"/>
            <a:graphic>
              <a:graphicData uri="http://schemas.openxmlformats.org/drawingml/2006/picture">
                <pic:pic>
                  <pic:nvPicPr>
                    <pic:cNvPr descr="images/pry2.png" id="30" name="Picture"/>
                    <pic:cNvPicPr>
                      <a:picLocks noChangeArrowheads="1" noChangeAspect="1"/>
                    </pic:cNvPicPr>
                  </pic:nvPicPr>
                  <pic:blipFill>
                    <a:blip r:embed="rId28"/>
                    <a:stretch>
                      <a:fillRect/>
                    </a:stretch>
                  </pic:blipFill>
                  <pic:spPr bwMode="auto">
                    <a:xfrm>
                      <a:off x="0" y="0"/>
                      <a:ext cx="5600700" cy="4264411"/>
                    </a:xfrm>
                    <a:prstGeom prst="rect">
                      <a:avLst/>
                    </a:prstGeom>
                    <a:noFill/>
                    <a:ln w="9525">
                      <a:noFill/>
                      <a:headEnd/>
                      <a:tailEnd/>
                    </a:ln>
                  </pic:spPr>
                </pic:pic>
              </a:graphicData>
            </a:graphic>
          </wp:inline>
        </w:drawing>
      </w:r>
      <w:bookmarkEnd w:id="31"/>
    </w:p>
    <w:p>
      <w:pPr>
        <w:pStyle w:val="ImageCaption"/>
      </w:pPr>
      <w:r>
        <w:t xml:space="preserve">Figure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32"/>
    <w:bookmarkEnd w:id="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2023-08-10T20:56:40Z</dcterms:created>
  <dcterms:modified xsi:type="dcterms:W3CDTF">2023-08-10T20:56:40Z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