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1.fb6fcf2</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78b97b14da365454992d1752d55f641c02e2a6d"/>
    <w:p>
      <w:pPr>
        <w:pStyle w:val="Ttulo1"/>
      </w:pPr>
      <w:r>
        <w:t xml:space="preserve">Análisis de Elementos Relevantes para la Arquitectura de Referencia SOA 2.0 del FNA</w:t>
      </w:r>
    </w:p>
    <w:bookmarkStart w:id="30"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9"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47c5b4ea-c9d9-474d-a3ad-a069899c85ad"/>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27" w:name="tbl:capacidades-id"/>
    <w:p>
      <w:pPr>
        <w:pStyle w:val="TableCaption"/>
      </w:pPr>
      <w:r>
        <w:t xml:space="preserve">Table 1: Servicios SOA del FNA más relevantes según modelos FNA.</w:t>
      </w:r>
      <w:r>
        <w:t xml:space="preserve"> </w:t>
      </w:r>
    </w:p>
    <w:tbl>
      <w:tblPr>
        <w:tblStyle w:val="Table"/>
        <w:tblW w:type="pct" w:w="5000"/>
        <w:tblLook w:firstRow="1" w:lastRow="0" w:firstColumn="0" w:lastColumn="0" w:noHBand="0" w:noVBand="0" w:val="0020"/>
        <w:tblCaption w:val="Table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7"/>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28" w:name="tbl:capacidades2-id"/>
    <w:p>
      <w:pPr>
        <w:pStyle w:val="TableCaption"/>
      </w:pPr>
      <w:r>
        <w:t xml:space="preserve">Table 2: Las capacidades de mayor importancia para el FNA.</w:t>
      </w:r>
      <w:r>
        <w:t xml:space="preserve"> </w:t>
      </w:r>
    </w:p>
    <w:tbl>
      <w:tblPr>
        <w:tblStyle w:val="Table"/>
        <w:tblW w:type="auto" w:w="0"/>
        <w:tblLook w:firstRow="1" w:lastRow="0" w:firstColumn="0" w:lastColumn="0" w:noHBand="0" w:noVBand="0" w:val="0020"/>
        <w:tblCaption w:val="Table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28"/>
    <w:bookmarkEnd w:id="0"/>
    <w:p>
      <w:pPr>
        <w:pStyle w:val="Textoindependiente"/>
      </w:pPr>
      <w:r>
        <w:rPr>
          <w:iCs/>
          <w:i/>
        </w:rPr>
        <w:t xml:space="preserve">Fuente: arquitectura fna.archimate</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2023-08-10T16:11:26Z</dcterms:created>
  <dcterms:modified xsi:type="dcterms:W3CDTF">2023-08-10T16:11:26Z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