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distribución de población de servicios en el portafolio del FNA, esto es, la cuenta de servicios por tipo.</w:t>
      </w:r>
    </w:p>
    <w:bookmarkStart w:id="25"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bookmarkStart w:id="0" w:name="fig:94f3ab0b-d2b6-48eb-abb2-7c7a9801923f"/>
    <w:p>
      <w:pPr>
        <w:pStyle w:val="CaptionedFigure"/>
      </w:pPr>
      <w:bookmarkStart w:id="23" w:name="fig:"/>
      <w:r>
        <w:drawing>
          <wp:inline>
            <wp:extent cx="5600700" cy="1808407"/>
            <wp:effectExtent b="0" l="0" r="0" t="0"/>
            <wp:docPr descr="Figure 1: Desarrollo y profundización de las capacidades del FNA propuestas. Existen pocas las relaciones entre las capacidades de negocio y los servicios SOA del Fondo." title="" id="21" name="Picture"/>
            <a:graphic>
              <a:graphicData uri="http://schemas.openxmlformats.org/drawingml/2006/picture">
                <pic:pic>
                  <pic:nvPicPr>
                    <pic:cNvPr descr="images/conclusiones-2.png" id="22" name="Picture"/>
                    <pic:cNvPicPr>
                      <a:picLocks noChangeArrowheads="1" noChangeAspect="1"/>
                    </pic:cNvPicPr>
                  </pic:nvPicPr>
                  <pic:blipFill>
                    <a:blip r:embed="rId20"/>
                    <a:stretch>
                      <a:fillRect/>
                    </a:stretch>
                  </pic:blipFill>
                  <pic:spPr bwMode="auto">
                    <a:xfrm>
                      <a:off x="0" y="0"/>
                      <a:ext cx="5600700" cy="1808407"/>
                    </a:xfrm>
                    <a:prstGeom prst="rect">
                      <a:avLst/>
                    </a:prstGeom>
                    <a:noFill/>
                    <a:ln w="9525">
                      <a:noFill/>
                      <a:headEnd/>
                      <a:tailEnd/>
                    </a:ln>
                  </pic:spPr>
                </pic:pic>
              </a:graphicData>
            </a:graphic>
          </wp:inline>
        </w:drawing>
      </w:r>
      <w:bookmarkEnd w:id="23"/>
    </w:p>
    <w:p>
      <w:pPr>
        <w:pStyle w:val="ImageCaption"/>
      </w:pPr>
      <w:r>
        <w:t xml:space="preserve">Figure 1: Desarrollo y profundización de las capacidades del FNA propuestas. Existen pocas las relaciones entre las capacidades de negocio y los servicios SOA del Fondo.</w:t>
      </w:r>
    </w:p>
    <w:bookmarkEnd w:id="0"/>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4">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5"/>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bookmarkStart w:id="0" w:name="tbl:alienacion-id"/>
    <w:bookmarkStart w:id="26" w:name="tbl:alienacion-id"/>
    <w:p>
      <w:pPr>
        <w:pStyle w:val="TableCaption"/>
      </w:pPr>
      <w:r>
        <w:t xml:space="preserve">Table 1: Catalogación de los tipos de servicios SOA de la Línea Base de Arquitectura (LBAF) del FNA analizada.</w:t>
      </w:r>
      <w:r>
        <w:t xml:space="preserve"> </w:t>
      </w:r>
    </w:p>
    <w:tbl>
      <w:tblPr>
        <w:tblStyle w:val="Table"/>
        <w:tblW w:type="auto" w:w="0"/>
        <w:tblLook w:firstRow="0" w:lastRow="0" w:firstColumn="0" w:lastColumn="0" w:noHBand="0" w:noVBand="0" w:val="0000"/>
        <w:tblCaption w:val="Table 1: Catalogación de los tipos de servicios SOA de la Línea Base de Arquitectura (LBAF) del FNA analizada. "/>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bookmarkEnd w:id="26"/>
    <w:bookmarkEnd w:id="0"/>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N003e.Cat&#225;logodeServiciosFNA-3.md" TargetMode="External" /><Relationship Type="http://schemas.openxmlformats.org/officeDocument/2006/relationships/hyperlink" Id="rId24" Target="N003e.md" TargetMode="External" /></Relationships>
</file>

<file path=word/_rels/footnotes.xml.rels><?xml version="1.0" encoding="UTF-8"?><Relationships xmlns="http://schemas.openxmlformats.org/package/2006/relationships"><Relationship Type="http://schemas.openxmlformats.org/officeDocument/2006/relationships/hyperlink" Id="rId27" Target="N003e.Cat&#225;logodeServiciosFNA-3.md" TargetMode="External" /><Relationship Type="http://schemas.openxmlformats.org/officeDocument/2006/relationships/hyperlink" Id="rId24" Target="N003e.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2023-08-14T18:52:30Z</dcterms:created>
  <dcterms:modified xsi:type="dcterms:W3CDTF">2023-08-14T18:52:30Z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