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1.cf4b913</w:t>
      </w:r>
    </w:p>
    <w:p>
      <w:pPr>
        <w:pStyle w:val="FirstParagraph"/>
      </w:pPr>
    </w:p>
    <w:bookmarkStart w:id="27" w:name="X40e19adc774aa540cdb3c93076aa5a50f5d1d75"/>
    <w:p>
      <w:pPr>
        <w:pStyle w:val="Ttulo1"/>
      </w:pPr>
      <w:r>
        <w:t xml:space="preserve">Producto 14: PR14. Administración de las transiciones hacia la arquitectura versión 2.0</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d6bc52da-0a61-4860-9434-be533a64d5b1"/>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2b21e31d-7201-4d21-953b-140161fd0afa"/>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2023-07-27T18:21:37Z</dcterms:created>
  <dcterms:modified xsi:type="dcterms:W3CDTF">2023-07-27T18:21:37Z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