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2.png" ContentType="image/png"/>
  <Override PartName="/word/media/rId3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1.fb6fcf2</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1"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01"/>
        </w:numPr>
        <w:pStyle w:val="Compact"/>
      </w:pPr>
      <w:r>
        <w:t xml:space="preserve">Intradepartamental y Servicios, Aplicaciones</w:t>
      </w:r>
    </w:p>
    <w:p>
      <w:pPr>
        <w:numPr>
          <w:ilvl w:val="0"/>
          <w:numId w:val="1001"/>
        </w:numPr>
        <w:pStyle w:val="Compact"/>
      </w:pPr>
      <w:r>
        <w:t xml:space="preserve">Unidades de Negocio y Productos de Negocio</w:t>
      </w:r>
    </w:p>
    <w:p>
      <w:pPr>
        <w:numPr>
          <w:ilvl w:val="0"/>
          <w:numId w:val="1001"/>
        </w:numPr>
        <w:pStyle w:val="Compact"/>
      </w:pPr>
      <w:r>
        <w:t xml:space="preserve">Entre Unidades de Negocio y Productos de Negocio</w:t>
      </w:r>
    </w:p>
    <w:p>
      <w:pPr>
        <w:numPr>
          <w:ilvl w:val="0"/>
          <w:numId w:val="1001"/>
        </w:numPr>
        <w:pStyle w:val="Compact"/>
      </w:pPr>
      <w:r>
        <w:t xml:space="preserve">Empresarial y Proveedores de Servicios SOA</w:t>
      </w:r>
    </w:p>
    <w:p>
      <w:pPr>
        <w:pStyle w:val="FirstParagraph"/>
      </w:pPr>
    </w:p>
    <w:bookmarkStart w:id="0" w:name="fig:adopcion1a.png"/>
    <w:p>
      <w:pPr>
        <w:pStyle w:val="CaptionedFigure"/>
      </w:pPr>
      <w:bookmarkStart w:id="25" w:name="fig:adopcion1a.png"/>
      <w:r>
        <w:drawing>
          <wp:inline>
            <wp:extent cx="5600700" cy="3039404"/>
            <wp:effectExtent b="0" l="0" r="0" t="0"/>
            <wp:docPr descr="Figure 1: Estadios de adopción SOA en el FNA propuestos por E-Services." title="" id="23" name="Picture"/>
            <a:graphic>
              <a:graphicData uri="http://schemas.openxmlformats.org/drawingml/2006/picture">
                <pic:pic>
                  <pic:nvPicPr>
                    <pic:cNvPr descr="images/adopcion1a.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30" w:name="capacidades-de-la-empresa-fna"/>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numPr>
          <w:ilvl w:val="0"/>
          <w:numId w:val="1002"/>
        </w:numPr>
        <w:pStyle w:val="Compact"/>
      </w:pPr>
      <w:r>
        <w:t xml:space="preserve">Gestión de productos y funcionalidades (ERP)</w:t>
      </w:r>
    </w:p>
    <w:p>
      <w:pPr>
        <w:numPr>
          <w:ilvl w:val="0"/>
          <w:numId w:val="1002"/>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29" w:name="fig:capacidades-neg.png"/>
      <w:r>
        <w:drawing>
          <wp:inline>
            <wp:extent cx="5600700" cy="1473868"/>
            <wp:effectExtent b="0" l="0" r="0" t="0"/>
            <wp:docPr descr="Figure 2: Capacidades encontradas en el repositorio de arquitectura del FNA, línea base." title="" id="27" name="Picture"/>
            <a:graphic>
              <a:graphicData uri="http://schemas.openxmlformats.org/drawingml/2006/picture">
                <pic:pic>
                  <pic:nvPicPr>
                    <pic:cNvPr descr="images/capacidades-neg.png" id="28" name="Picture"/>
                    <pic:cNvPicPr>
                      <a:picLocks noChangeArrowheads="1" noChangeAspect="1"/>
                    </pic:cNvPicPr>
                  </pic:nvPicPr>
                  <pic:blipFill>
                    <a:blip r:embed="rId26"/>
                    <a:stretch>
                      <a:fillRect/>
                    </a:stretch>
                  </pic:blipFill>
                  <pic:spPr bwMode="auto">
                    <a:xfrm>
                      <a:off x="0" y="0"/>
                      <a:ext cx="5600700" cy="1473868"/>
                    </a:xfrm>
                    <a:prstGeom prst="rect">
                      <a:avLst/>
                    </a:prstGeom>
                    <a:noFill/>
                    <a:ln w="9525">
                      <a:noFill/>
                      <a:headEnd/>
                      <a:tailEnd/>
                    </a:ln>
                  </pic:spPr>
                </pic:pic>
              </a:graphicData>
            </a:graphic>
          </wp:inline>
        </w:drawing>
      </w:r>
      <w:bookmarkEnd w:id="29"/>
    </w:p>
    <w:p>
      <w:pPr>
        <w:pStyle w:val="ImageCaption"/>
      </w:pPr>
      <w:r>
        <w:t xml:space="preserve">Figure 2: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30"/>
    <w:bookmarkStart w:id="35"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eservices3-22">
        <w:r>
          <w:rPr>
            <w:rStyle w:val="Hipervnculo"/>
            <w:bCs/>
            <w:b/>
          </w:rPr>
          <w:t xml:space="preserve">eservices3-22?</w:t>
        </w:r>
      </w:hyperlink>
      <w:r>
        <w:t xml:space="preserve">]</w:t>
      </w:r>
      <w:r>
        <w:t xml:space="preserve">, presentamos estas capacidades que son equiparables con la arquitectura SOA del Fondo Nacional.</w:t>
      </w:r>
    </w:p>
    <w:p>
      <w:pPr>
        <w:numPr>
          <w:ilvl w:val="0"/>
          <w:numId w:val="1003"/>
        </w:numPr>
        <w:pStyle w:val="Compact"/>
      </w:pPr>
      <w:r>
        <w:t xml:space="preserve">CAP1. Realizar e implementar estrategias y entregables de la arquitectura de referencia SOA</w:t>
      </w:r>
    </w:p>
    <w:p>
      <w:pPr>
        <w:numPr>
          <w:ilvl w:val="0"/>
          <w:numId w:val="1003"/>
        </w:numPr>
        <w:pStyle w:val="Compact"/>
      </w:pPr>
      <w:r>
        <w:t xml:space="preserve">CAP2. Relacionar la arquitectura de referencia SOA y vincular distintas perspectivas del negocio</w:t>
      </w:r>
    </w:p>
    <w:p>
      <w:pPr>
        <w:numPr>
          <w:ilvl w:val="0"/>
          <w:numId w:val="1003"/>
        </w:numPr>
        <w:pStyle w:val="Compact"/>
      </w:pPr>
      <w:r>
        <w:t xml:space="preserve">CAP3. Ejecutar hojas de ruta de cierre de brechas de la arquitectura SOA del FNA</w:t>
      </w:r>
    </w:p>
    <w:p>
      <w:pPr>
        <w:numPr>
          <w:ilvl w:val="0"/>
          <w:numId w:val="1003"/>
        </w:numPr>
        <w:pStyle w:val="Compact"/>
      </w:pPr>
      <w:r>
        <w:t xml:space="preserve">CAP4. Trazabilidad de los activos y productos de TI con los productos y decisiones de negocio del FNA</w:t>
      </w:r>
    </w:p>
    <w:p>
      <w:pPr>
        <w:numPr>
          <w:ilvl w:val="0"/>
          <w:numId w:val="1003"/>
        </w:numPr>
        <w:pStyle w:val="Compact"/>
      </w:pPr>
      <w:r>
        <w:t xml:space="preserve">CAP5. Realizar análisis de impacto, riesgos, costo beneficio, y capacidad en uso</w:t>
      </w:r>
    </w:p>
    <w:p>
      <w:pPr>
        <w:numPr>
          <w:ilvl w:val="0"/>
          <w:numId w:val="1003"/>
        </w:numPr>
        <w:pStyle w:val="Compact"/>
      </w:pPr>
      <w:r>
        <w:t xml:space="preserve">CAP6. Emitir y gestionar documentación técnica estándares para proveedores, Comunicación y Planeación del FNA</w:t>
      </w:r>
    </w:p>
    <w:p>
      <w:pPr>
        <w:numPr>
          <w:ilvl w:val="0"/>
          <w:numId w:val="1003"/>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34" w:name="fig:capacidades-neg.png"/>
      <w:r>
        <w:drawing>
          <wp:inline>
            <wp:extent cx="5600700" cy="4485868"/>
            <wp:effectExtent b="0" l="0" r="0" t="0"/>
            <wp:docPr descr="Figure 3: Capacidades de arquitectura del FNA provenientes de los procesos de arquitectura propuestos." title="" id="32" name="Picture"/>
            <a:graphic>
              <a:graphicData uri="http://schemas.openxmlformats.org/drawingml/2006/picture">
                <pic:pic>
                  <pic:nvPicPr>
                    <pic:cNvPr descr="images/capacidades-arq.png" id="33" name="Picture"/>
                    <pic:cNvPicPr>
                      <a:picLocks noChangeArrowheads="1" noChangeAspect="1"/>
                    </pic:cNvPicPr>
                  </pic:nvPicPr>
                  <pic:blipFill>
                    <a:blip r:embed="rId31"/>
                    <a:stretch>
                      <a:fillRect/>
                    </a:stretch>
                  </pic:blipFill>
                  <pic:spPr bwMode="auto">
                    <a:xfrm>
                      <a:off x="0" y="0"/>
                      <a:ext cx="5600700" cy="4485868"/>
                    </a:xfrm>
                    <a:prstGeom prst="rect">
                      <a:avLst/>
                    </a:prstGeom>
                    <a:noFill/>
                    <a:ln w="9525">
                      <a:noFill/>
                      <a:headEnd/>
                      <a:tailEnd/>
                    </a:ln>
                  </pic:spPr>
                </pic:pic>
              </a:graphicData>
            </a:graphic>
          </wp:inline>
        </w:drawing>
      </w:r>
      <w:bookmarkEnd w:id="34"/>
    </w:p>
    <w:p>
      <w:pPr>
        <w:pStyle w:val="ImageCaption"/>
      </w:pPr>
      <w:r>
        <w:t xml:space="preserve">Figure 3: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bookmarkEnd w:id="35"/>
    <w:bookmarkStart w:id="40" w:name="Xb8ee99e5dcd3b1fcc29c7619b321426e13145d4"/>
    <w:p>
      <w:pPr>
        <w:pStyle w:val="Ttulo2"/>
      </w:pPr>
      <w:r>
        <w:t xml:space="preserve">Modelo de Adopción de Arquitectura del FNA</w:t>
      </w:r>
    </w:p>
    <w:p>
      <w:pPr>
        <w:pStyle w:val="FirstParagraph"/>
      </w:pPr>
      <w:r>
        <w:t xml:space="preserve">Al cruzar las capacidades con los estadios de adopción descritos arriba obtenemos lo que llamamos el modelo de adopción basado en capacidades de la arquitectura de referencia. Este modelo describe que las capacidades de arquitectura SOA propuestas arriba (E-Services), se desarrollan y fortalecen de la expansión y el uso de las arquitecturas dentro del FNA. El modelo plantea además que esto debe suceder gradual, cuantitativa y gestionadamente, lo cual resultará por fin en el ascenso a los estadios de adopción de arquitectura.</w:t>
      </w:r>
    </w:p>
    <w:bookmarkStart w:id="0" w:name="fig:adopcion1.png"/>
    <w:p>
      <w:pPr>
        <w:pStyle w:val="CaptionedFigure"/>
      </w:pPr>
      <w:bookmarkStart w:id="39" w:name="fig:adopcion1.png"/>
      <w:r>
        <w:drawing>
          <wp:inline>
            <wp:extent cx="5600700" cy="3039404"/>
            <wp:effectExtent b="0" l="0" r="0" t="0"/>
            <wp:docPr descr="Figure 4: Relación de desarrollo de las capacidades y la adopción de las arquitecturas de referencia SOA en el FNA." title="" id="37" name="Picture"/>
            <a:graphic>
              <a:graphicData uri="http://schemas.openxmlformats.org/drawingml/2006/picture">
                <pic:pic>
                  <pic:nvPicPr>
                    <pic:cNvPr descr="images/adopcion1.png" id="38" name="Picture"/>
                    <pic:cNvPicPr>
                      <a:picLocks noChangeArrowheads="1" noChangeAspect="1"/>
                    </pic:cNvPicPr>
                  </pic:nvPicPr>
                  <pic:blipFill>
                    <a:blip r:embed="rId36"/>
                    <a:stretch>
                      <a:fillRect/>
                    </a:stretch>
                  </pic:blipFill>
                  <pic:spPr bwMode="auto">
                    <a:xfrm>
                      <a:off x="0" y="0"/>
                      <a:ext cx="5600700" cy="3039404"/>
                    </a:xfrm>
                    <a:prstGeom prst="rect">
                      <a:avLst/>
                    </a:prstGeom>
                    <a:noFill/>
                    <a:ln w="9525">
                      <a:noFill/>
                      <a:headEnd/>
                      <a:tailEnd/>
                    </a:ln>
                  </pic:spPr>
                </pic:pic>
              </a:graphicData>
            </a:graphic>
          </wp:inline>
        </w:drawing>
      </w:r>
      <w:bookmarkEnd w:id="39"/>
    </w:p>
    <w:p>
      <w:pPr>
        <w:pStyle w:val="ImageCaption"/>
      </w:pPr>
      <w:r>
        <w:t xml:space="preserve">Figure 4: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pPr>
        <w:pStyle w:val="Textoindependiente"/>
      </w:pPr>
      <w:r>
        <w:t xml:space="preserve">En resumen, el modelo propone que el grado de desarrollo de las capacidades determina a su vez el grado de adopción de las arquitecturas de referencia del FNA. Funciona también en el sentido inverso: el modelo informa sobre las capacidades que necesitan ser desarrolladas para aumentar los niveles de adopción de las arquitecturas en el FNA.</w:t>
      </w:r>
    </w:p>
    <w:p>
      <w:pPr>
        <w:pStyle w:val="SourceCode"/>
      </w:pPr>
      <w:r>
        <w:rPr>
          <w:rStyle w:val="VerbatimChar"/>
        </w:rPr>
        <w:t xml:space="preserve">Importante. El desarrollo de las capacidades de arquitectura es uno de los objetivos primos del Gobierno SOA planteado por este ejercicio (ver proyecto 1, Gobierno SOA del FNA).</w:t>
      </w:r>
    </w:p>
    <w:p>
      <w:pPr>
        <w:pStyle w:val="FirstParagraph"/>
      </w:pPr>
    </w:p>
    <w:bookmarkEnd w:id="40"/>
    <w:bookmarkEnd w:id="4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2023-08-10T16:11:30Z</dcterms:created>
  <dcterms:modified xsi:type="dcterms:W3CDTF">2023-08-10T16:11:30Z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