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3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Posibles estadios de adopción y transición (madurez) de las arquitecturas para el FNA</w:t>
            </w:r>
          </w:p>
        </w:tc>
      </w:tr>
      <w:tr>
        <w:tc>
          <w:tcPr/>
          <w:p>
            <w:pPr>
              <w:pStyle w:val="Compact"/>
              <w:jc w:val="left"/>
            </w:pPr>
            <w:r>
              <w:t xml:space="preserve">Palabras clave</w:t>
            </w:r>
          </w:p>
        </w:tc>
        <w:tc>
          <w:tcPr/>
          <w:p>
            <w:pPr>
              <w:pStyle w:val="Compact"/>
              <w:jc w:val="left"/>
            </w:pPr>
            <w:r>
              <w:t xml:space="preserve">SOA, Arquitectura de referencia, Estadios, Adopción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1.73526d7</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6" w:name="Xf8540880ecb34a23f1564518e7c336768e12475"/>
    <w:p>
      <w:pPr>
        <w:pStyle w:val="Ttulo1"/>
      </w:pPr>
      <w:r>
        <w:t xml:space="preserve">Estadios de Adopción y Transición de las arquitecturas para el FNA</w:t>
      </w:r>
    </w:p>
    <w:p>
      <w:pPr>
        <w:pStyle w:val="FirstParagraph"/>
      </w:pPr>
      <w:r>
        <w:t xml:space="preserve">La noción de adopción en el contexto de este proyecto es un instrumento para la adaptación de una nueva arquitectura dentro de un contexto de la empresa. El concepto de</w:t>
      </w:r>
      <w:r>
        <w:t xml:space="preserve"> </w:t>
      </w:r>
      <w:r>
        <w:rPr>
          <w:iCs/>
          <w:i/>
        </w:rPr>
        <w:t xml:space="preserve">adopción de nuevas arquitecturas</w:t>
      </w:r>
      <w:r>
        <w:t xml:space="preserve">, visto también como instrumento de navegación, es importante porque informa sobre el horizonte de cambios contenidos en la hoja de ruta de las arquitecturas del FNA, determinada en este caso por la Oficina de Arquitectura de la empresa. Por otro lado, la adopción como proceso, provee información que sirve para tomar decisión a lo largo de dicha hoja de ruta, actividad claramente importante.</w:t>
      </w:r>
    </w:p>
    <w:p>
      <w:pPr>
        <w:pStyle w:val="Textoindependiente"/>
      </w:pPr>
      <w:r>
        <w:t xml:space="preserve">Antes de desarrollar los métodos de adopción, como proceso y como instrumento, debemos describir los estadios de expansión a los que le apuntamos, los cuales darán un orden y una percepción de progreso mientras la hoja de ruta de las arquitecturas se va desplegando.</w:t>
      </w:r>
    </w:p>
    <w:p>
      <w:pPr>
        <w:pStyle w:val="Textoindependiente"/>
      </w:pPr>
      <w:r>
        <w:t xml:space="preserve">Presentaremos a continuación un modelo de transición de capacidades de la arquitectura basado en niveles o estadios de expansión de las arquitecturas en el que involucraremos las capacidades de arquitectura y cómo estas van o apareciendo o fortaleciéndose en el tiempo.</w:t>
      </w:r>
    </w:p>
    <w:p>
      <w:pPr>
        <w:pStyle w:val="Textoindependiente"/>
      </w:pPr>
      <w:r>
        <w:t xml:space="preserve">Estadios de adopción SOA en el FNA</w:t>
      </w:r>
    </w:p>
    <w:p>
      <w:pPr>
        <w:numPr>
          <w:ilvl w:val="0"/>
          <w:numId w:val="1001"/>
        </w:numPr>
        <w:pStyle w:val="Compact"/>
      </w:pPr>
      <w:r>
        <w:t xml:space="preserve">Intradepartamental y Servicios, Aplicaciones</w:t>
      </w:r>
    </w:p>
    <w:p>
      <w:pPr>
        <w:numPr>
          <w:ilvl w:val="0"/>
          <w:numId w:val="1001"/>
        </w:numPr>
        <w:pStyle w:val="Compact"/>
      </w:pPr>
      <w:r>
        <w:t xml:space="preserve">Unidades de Negocio y Productos de Negocio</w:t>
      </w:r>
    </w:p>
    <w:p>
      <w:pPr>
        <w:numPr>
          <w:ilvl w:val="0"/>
          <w:numId w:val="1001"/>
        </w:numPr>
        <w:pStyle w:val="Compact"/>
      </w:pPr>
      <w:r>
        <w:t xml:space="preserve">Entre Unidades de Negocio y Productos de Negocio</w:t>
      </w:r>
    </w:p>
    <w:p>
      <w:pPr>
        <w:numPr>
          <w:ilvl w:val="0"/>
          <w:numId w:val="1001"/>
        </w:numPr>
        <w:pStyle w:val="Compact"/>
      </w:pPr>
      <w:r>
        <w:t xml:space="preserve">Empresarial y Proveedores de Servicios SOA</w:t>
      </w:r>
    </w:p>
    <w:p>
      <w:pPr>
        <w:pStyle w:val="FirstParagraph"/>
      </w:pPr>
    </w:p>
    <w:bookmarkStart w:id="0" w:name="fig:adopcion1a.png"/>
    <w:p>
      <w:pPr>
        <w:pStyle w:val="CaptionedFigure"/>
      </w:pPr>
      <w:bookmarkStart w:id="25" w:name="fig:adopcion1a.png"/>
      <w:r>
        <w:drawing>
          <wp:inline>
            <wp:extent cx="5600700" cy="3039404"/>
            <wp:effectExtent b="0" l="0" r="0" t="0"/>
            <wp:docPr descr="Figure 1: Estadios de adopción SOA en el FNA propuestos por E-Services." title="" id="23" name="Picture"/>
            <a:graphic>
              <a:graphicData uri="http://schemas.openxmlformats.org/drawingml/2006/picture">
                <pic:pic>
                  <pic:nvPicPr>
                    <pic:cNvPr descr="images/adopcion1a.png" id="24" name="Picture"/>
                    <pic:cNvPicPr>
                      <a:picLocks noChangeArrowheads="1" noChangeAspect="1"/>
                    </pic:cNvPicPr>
                  </pic:nvPicPr>
                  <pic:blipFill>
                    <a:blip r:embed="rId22"/>
                    <a:stretch>
                      <a:fillRect/>
                    </a:stretch>
                  </pic:blipFill>
                  <pic:spPr bwMode="auto">
                    <a:xfrm>
                      <a:off x="0" y="0"/>
                      <a:ext cx="5600700" cy="3039404"/>
                    </a:xfrm>
                    <a:prstGeom prst="rect">
                      <a:avLst/>
                    </a:prstGeom>
                    <a:noFill/>
                    <a:ln w="9525">
                      <a:noFill/>
                      <a:headEnd/>
                      <a:tailEnd/>
                    </a:ln>
                  </pic:spPr>
                </pic:pic>
              </a:graphicData>
            </a:graphic>
          </wp:inline>
        </w:drawing>
      </w:r>
      <w:bookmarkEnd w:id="25"/>
    </w:p>
    <w:p>
      <w:pPr>
        <w:pStyle w:val="ImageCaption"/>
      </w:pPr>
      <w:r>
        <w:t xml:space="preserve">Figure 1: Estadios de adopción SOA en el FNA propuestos por E-Services.</w:t>
      </w:r>
    </w:p>
    <w:bookmarkEnd w:id="0"/>
    <w:p>
      <w:pPr>
        <w:pStyle w:val="Textoindependiente"/>
      </w:pPr>
      <w:r>
        <w:t xml:space="preserve">A lo largo de esta secuencia de adopción de cambios establecida arriba, a la que llamamos estadios de adopción SOA del FNA, las capacidades del FNA involucradas y afectadas son las que indicamos en el siguiente apartado.</w:t>
      </w:r>
    </w:p>
    <w:bookmarkStart w:id="30" w:name="capacidades-de-la-empresa-fna"/>
    <w:p>
      <w:pPr>
        <w:pStyle w:val="Ttulo2"/>
      </w:pPr>
      <w:r>
        <w:t xml:space="preserve">Capacidades de la Empresa FNA</w:t>
      </w:r>
    </w:p>
    <w:p>
      <w:pPr>
        <w:pStyle w:val="FirstParagraph"/>
      </w:pPr>
      <w:r>
        <w:t xml:space="preserve">Esta vista preliminar de capacidades consignadas en el repositorio de arquitectura del FNA por la Fase I de E-Service, llamada la línea base de arquitectura, producto PR12, Diseño detallado y vistas funcional, despliegue, información, integración y tecnología​, nos servirá posteriormente para relacionar dichas capacidades con lo niveles de adopción SOA propuesto arriba.</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numPr>
          <w:ilvl w:val="0"/>
          <w:numId w:val="1002"/>
        </w:numPr>
        <w:pStyle w:val="Compact"/>
      </w:pPr>
      <w:r>
        <w:t xml:space="preserve">Gestión de productos y funcionalidades (ERP)</w:t>
      </w:r>
    </w:p>
    <w:p>
      <w:pPr>
        <w:numPr>
          <w:ilvl w:val="0"/>
          <w:numId w:val="1002"/>
        </w:numPr>
        <w:pStyle w:val="Compact"/>
      </w:pPr>
      <w:r>
        <w:t xml:space="preserve">Gestión de tecnología para negocios</w:t>
      </w:r>
    </w:p>
    <w:p>
      <w:pPr>
        <w:pStyle w:val="FirstParagraph"/>
      </w:pPr>
      <w:r>
        <w:rPr>
          <w:iCs/>
          <w:i/>
        </w:rPr>
        <w:t xml:space="preserve">Fuente: Repositorio de arquitectura, línea base del FNA. PR12 de E-Service Fase II.</w:t>
      </w:r>
    </w:p>
    <w:p>
      <w:pPr>
        <w:pStyle w:val="Textoindependiente"/>
      </w:pPr>
      <w:r>
        <w:rPr>
          <w:bCs/>
          <w:b/>
        </w:rPr>
        <w:t xml:space="preserve">Nota</w:t>
      </w:r>
      <w:r>
        <w:t xml:space="preserve">: esta lista de capacidades no es exhaustiva. Es tan solo una parte de las capacidades que son foco de la actual consultoría.</w:t>
      </w:r>
    </w:p>
    <w:p>
      <w:pPr>
        <w:pStyle w:val="Textoindependiente"/>
      </w:pPr>
    </w:p>
    <w:bookmarkStart w:id="0" w:name="fig:capacidades-neg.png"/>
    <w:p>
      <w:pPr>
        <w:pStyle w:val="CaptionedFigure"/>
      </w:pPr>
      <w:bookmarkStart w:id="29" w:name="fig:capacidades-neg.png"/>
      <w:r>
        <w:drawing>
          <wp:inline>
            <wp:extent cx="5600700" cy="1473868"/>
            <wp:effectExtent b="0" l="0" r="0" t="0"/>
            <wp:docPr descr="Figure 2: Capacidades encontradas en el repositorio de arquitectura del FNA, línea base." title="" id="27" name="Picture"/>
            <a:graphic>
              <a:graphicData uri="http://schemas.openxmlformats.org/drawingml/2006/picture">
                <pic:pic>
                  <pic:nvPicPr>
                    <pic:cNvPr descr="images/capacidades-neg.png" id="28" name="Picture"/>
                    <pic:cNvPicPr>
                      <a:picLocks noChangeArrowheads="1" noChangeAspect="1"/>
                    </pic:cNvPicPr>
                  </pic:nvPicPr>
                  <pic:blipFill>
                    <a:blip r:embed="rId26"/>
                    <a:stretch>
                      <a:fillRect/>
                    </a:stretch>
                  </pic:blipFill>
                  <pic:spPr bwMode="auto">
                    <a:xfrm>
                      <a:off x="0" y="0"/>
                      <a:ext cx="5600700" cy="1473868"/>
                    </a:xfrm>
                    <a:prstGeom prst="rect">
                      <a:avLst/>
                    </a:prstGeom>
                    <a:noFill/>
                    <a:ln w="9525">
                      <a:noFill/>
                      <a:headEnd/>
                      <a:tailEnd/>
                    </a:ln>
                  </pic:spPr>
                </pic:pic>
              </a:graphicData>
            </a:graphic>
          </wp:inline>
        </w:drawing>
      </w:r>
      <w:bookmarkEnd w:id="29"/>
    </w:p>
    <w:p>
      <w:pPr>
        <w:pStyle w:val="ImageCaption"/>
      </w:pPr>
      <w:r>
        <w:t xml:space="preserve">Figure 2: Capacidades encontradas en el repositorio de arquitectura del FNA, línea base.</w:t>
      </w:r>
    </w:p>
    <w:bookmarkEnd w:id="0"/>
    <w:p>
      <w:pPr>
        <w:pStyle w:val="Textoindependiente"/>
      </w:pPr>
      <w:r>
        <w:rPr>
          <w:iCs/>
          <w:i/>
        </w:rPr>
        <w:t xml:space="preserve">Fuente: Repositorio de arquitectura, línea base del FNA. PR12 de E-Service Fase II.</w:t>
      </w:r>
    </w:p>
    <w:p>
      <w:pPr>
        <w:pStyle w:val="Textoindependiente"/>
      </w:pPr>
    </w:p>
    <w:bookmarkEnd w:id="30"/>
    <w:bookmarkStart w:id="35" w:name="capacidades-de-arquitectura-del-fna"/>
    <w:p>
      <w:pPr>
        <w:pStyle w:val="Ttulo2"/>
      </w:pPr>
      <w:r>
        <w:t xml:space="preserve">Capacidades de Arquitectura del FNA</w:t>
      </w:r>
    </w:p>
    <w:p>
      <w:pPr>
        <w:pStyle w:val="FirstParagraph"/>
      </w:pPr>
      <w:r>
        <w:t xml:space="preserve">De la mano del proceso de gobierno SOA del FNA,</w:t>
      </w:r>
      <w:r>
        <w:t xml:space="preserve"> </w:t>
      </w:r>
      <w:r>
        <w:t xml:space="preserve">[</w:t>
      </w:r>
      <w:hyperlink w:anchor="ref-eservices3-22">
        <w:r>
          <w:rPr>
            <w:rStyle w:val="Hipervnculo"/>
            <w:bCs/>
            <w:b/>
          </w:rPr>
          <w:t xml:space="preserve">eservices3-22?</w:t>
        </w:r>
      </w:hyperlink>
      <w:r>
        <w:t xml:space="preserve">]</w:t>
      </w:r>
      <w:r>
        <w:t xml:space="preserve">, presentamos estas capacidades que son equiparables con la arquitectura SOA del Fondo Nacional.</w:t>
      </w:r>
    </w:p>
    <w:p>
      <w:pPr>
        <w:numPr>
          <w:ilvl w:val="0"/>
          <w:numId w:val="1003"/>
        </w:numPr>
        <w:pStyle w:val="Compact"/>
      </w:pPr>
      <w:r>
        <w:t xml:space="preserve">CAP1. Realizar e implementar estrategias y entregables de la arquitectura de referencia SOA</w:t>
      </w:r>
    </w:p>
    <w:p>
      <w:pPr>
        <w:numPr>
          <w:ilvl w:val="0"/>
          <w:numId w:val="1003"/>
        </w:numPr>
        <w:pStyle w:val="Compact"/>
      </w:pPr>
      <w:r>
        <w:t xml:space="preserve">CAP2. Relacionar la arquitectura de referencia SOA y vincular distintas perspectivas del negocio</w:t>
      </w:r>
    </w:p>
    <w:p>
      <w:pPr>
        <w:numPr>
          <w:ilvl w:val="0"/>
          <w:numId w:val="1003"/>
        </w:numPr>
        <w:pStyle w:val="Compact"/>
      </w:pPr>
      <w:r>
        <w:t xml:space="preserve">CAP3. Ejecutar hojas de ruta de cierre de brechas de la arquitectura SOA del FNA</w:t>
      </w:r>
    </w:p>
    <w:p>
      <w:pPr>
        <w:numPr>
          <w:ilvl w:val="0"/>
          <w:numId w:val="1003"/>
        </w:numPr>
        <w:pStyle w:val="Compact"/>
      </w:pPr>
      <w:r>
        <w:t xml:space="preserve">CAP4. Trazabilidad de los activos y productos de TI con los productos y decisiones de negocio del FNA</w:t>
      </w:r>
    </w:p>
    <w:p>
      <w:pPr>
        <w:numPr>
          <w:ilvl w:val="0"/>
          <w:numId w:val="1003"/>
        </w:numPr>
        <w:pStyle w:val="Compact"/>
      </w:pPr>
      <w:r>
        <w:t xml:space="preserve">CAP5. Realizar análisis de impacto, riesgos, costo beneficio, y capacidad en uso</w:t>
      </w:r>
    </w:p>
    <w:p>
      <w:pPr>
        <w:numPr>
          <w:ilvl w:val="0"/>
          <w:numId w:val="1003"/>
        </w:numPr>
        <w:pStyle w:val="Compact"/>
      </w:pPr>
      <w:r>
        <w:t xml:space="preserve">CAP6. Emitir y gestionar documentación técnica estándares para proveedores, Comunicación y Planeación del FNA</w:t>
      </w:r>
    </w:p>
    <w:p>
      <w:pPr>
        <w:numPr>
          <w:ilvl w:val="0"/>
          <w:numId w:val="1003"/>
        </w:numPr>
        <w:pStyle w:val="Compact"/>
      </w:pPr>
      <w:r>
        <w:t xml:space="preserve">CAP7. Emitir y actualizar el marco de trabajo de gobierno SOA del FNA</w:t>
      </w:r>
    </w:p>
    <w:p>
      <w:pPr>
        <w:pStyle w:val="FirstParagraph"/>
      </w:pPr>
    </w:p>
    <w:bookmarkStart w:id="0" w:name="fig:capacidades-neg.png"/>
    <w:p>
      <w:pPr>
        <w:pStyle w:val="CaptionedFigure"/>
      </w:pPr>
      <w:bookmarkStart w:id="34" w:name="fig:capacidades-neg.png"/>
      <w:r>
        <w:drawing>
          <wp:inline>
            <wp:extent cx="5600700" cy="4485868"/>
            <wp:effectExtent b="0" l="0" r="0" t="0"/>
            <wp:docPr descr="Figure 3: Capacidades de arquitectura del FNA provenientes de los procesos de arquitectura propuestos." title="" id="32" name="Picture"/>
            <a:graphic>
              <a:graphicData uri="http://schemas.openxmlformats.org/drawingml/2006/picture">
                <pic:pic>
                  <pic:nvPicPr>
                    <pic:cNvPr descr="images/capacidades-arq.png" id="33" name="Picture"/>
                    <pic:cNvPicPr>
                      <a:picLocks noChangeArrowheads="1" noChangeAspect="1"/>
                    </pic:cNvPicPr>
                  </pic:nvPicPr>
                  <pic:blipFill>
                    <a:blip r:embed="rId31"/>
                    <a:stretch>
                      <a:fillRect/>
                    </a:stretch>
                  </pic:blipFill>
                  <pic:spPr bwMode="auto">
                    <a:xfrm>
                      <a:off x="0" y="0"/>
                      <a:ext cx="5600700" cy="4485868"/>
                    </a:xfrm>
                    <a:prstGeom prst="rect">
                      <a:avLst/>
                    </a:prstGeom>
                    <a:noFill/>
                    <a:ln w="9525">
                      <a:noFill/>
                      <a:headEnd/>
                      <a:tailEnd/>
                    </a:ln>
                  </pic:spPr>
                </pic:pic>
              </a:graphicData>
            </a:graphic>
          </wp:inline>
        </w:drawing>
      </w:r>
      <w:bookmarkEnd w:id="34"/>
    </w:p>
    <w:p>
      <w:pPr>
        <w:pStyle w:val="ImageCaption"/>
      </w:pPr>
      <w:r>
        <w:t xml:space="preserve">Figure 3: Capacidades de arquitectura del FNA provenientes de los procesos de arquitectura propuestos.</w:t>
      </w:r>
    </w:p>
    <w:bookmarkEnd w:id="0"/>
    <w:p>
      <w:pPr>
        <w:pStyle w:val="Textoindependiente"/>
      </w:pPr>
      <w:r>
        <w:rPr>
          <w:iCs/>
          <w:i/>
        </w:rPr>
        <w:t xml:space="preserve">Fuente: Repositorio de arquitectura, línea base del FNA. PR12 de E-Service Fase II.</w:t>
      </w:r>
    </w:p>
    <w:p>
      <w:pPr>
        <w:pStyle w:val="Textoindependiente"/>
      </w:pP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2023-08-10T16:26:32Z</dcterms:created>
  <dcterms:modified xsi:type="dcterms:W3CDTF">2023-08-10T16:26:32Z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Administración de las transiciones hacia la arquitectura versión 2.0</vt:lpwstr>
  </property>
  <property fmtid="{D5CDD505-2E9C-101B-9397-08002B2CF9AE}" pid="7" name="references">
    <vt:lpwstr/>
  </property>
</Properties>
</file>