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1.8824798</w:t>
            </w:r>
            <w:r>
              <w:t xml:space="preserve"> </w:t>
            </w:r>
            <w:r>
              <w:t xml:space="preserve">del 22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r>
        <w:t xml:space="preserve">Además de medir el nivel de adopción junto a la eficacia de las capacidades de arquitectura en el FNA, este modelo también sirve para planificar y rastrear el progreso de la medición de la adopción y contrastar estos niveles con el retorno de inversión de TI, junto con las evidencias y entregables de cada estadio.</w:t>
      </w:r>
    </w:p>
    <w:p>
      <w:pPr>
        <w:pStyle w:val="Textoindependiente"/>
      </w:pPr>
    </w:p>
    <w:p>
      <w:pPr>
        <w:pStyle w:val="Textoindependiente"/>
      </w:pPr>
      <w:r>
        <w:t xml:space="preserve">La relación fundamental entre capacidades, adopción y Gobierno FNA, producto de este ejercicio, es explícita en la siguiente ilustración en donde aparece el modelo de adopción en contexto con gobierno.</w:t>
      </w:r>
    </w:p>
    <w:bookmarkStart w:id="0" w:name="fig:adopcion3.png"/>
    <w:p>
      <w:pPr>
        <w:pStyle w:val="CaptionedFigure"/>
      </w:pPr>
      <w:bookmarkStart w:id="29" w:name="fig:adopcion3.png"/>
      <w:r>
        <w:drawing>
          <wp:inline>
            <wp:extent cx="5600700" cy="3656655"/>
            <wp:effectExtent b="0" l="0" r="0" t="0"/>
            <wp:docPr descr="Figure 2: Modelo de adopción de arquitecturas del FNA en contexto con gobierno E-Services." title="" id="27" name="Picture"/>
            <a:graphic>
              <a:graphicData uri="http://schemas.openxmlformats.org/drawingml/2006/picture">
                <pic:pic>
                  <pic:nvPicPr>
                    <pic:cNvPr descr="images/adopcion3.png" id="28" name="Picture"/>
                    <pic:cNvPicPr>
                      <a:picLocks noChangeArrowheads="1" noChangeAspect="1"/>
                    </pic:cNvPicPr>
                  </pic:nvPicPr>
                  <pic:blipFill>
                    <a:blip r:embed="rId26"/>
                    <a:stretch>
                      <a:fillRect/>
                    </a:stretch>
                  </pic:blipFill>
                  <pic:spPr bwMode="auto">
                    <a:xfrm>
                      <a:off x="0" y="0"/>
                      <a:ext cx="5600700" cy="3656655"/>
                    </a:xfrm>
                    <a:prstGeom prst="rect">
                      <a:avLst/>
                    </a:prstGeom>
                    <a:noFill/>
                    <a:ln w="9525">
                      <a:noFill/>
                      <a:headEnd/>
                      <a:tailEnd/>
                    </a:ln>
                  </pic:spPr>
                </pic:pic>
              </a:graphicData>
            </a:graphic>
          </wp:inline>
        </w:drawing>
      </w:r>
      <w:bookmarkEnd w:id="29"/>
    </w:p>
    <w:p>
      <w:pPr>
        <w:pStyle w:val="ImageCaption"/>
      </w:pPr>
      <w:r>
        <w:t xml:space="preserve">Figure 2: Modelo de adopción de arquitecturas del FNA en contexto con gobierno E-Services.</w:t>
      </w:r>
    </w:p>
    <w:bookmarkEnd w:id="0"/>
    <w:p>
      <w:pPr>
        <w:pStyle w:val="Textoindependiente"/>
      </w:pPr>
      <w:r>
        <w:rPr>
          <w:iCs/>
          <w:i/>
        </w:rPr>
        <w:t xml:space="preserve">Fuente: elaboración propia.</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2023-08-22T17:05:41Z</dcterms:created>
  <dcterms:modified xsi:type="dcterms:W3CDTF">2023-08-22T17:05:41Z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