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Relación de las transiciones con las capacidades de negocio y tecnología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Estadios de adopción, Adopción, Capacidades de arquitectura, Capacidades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1.05ff813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Modelo Operativo SOA</w:t>
      </w:r>
      <w:r>
        <w:t xml:space="preserve"> </w:t>
      </w:r>
      <w:r>
        <w:t xml:space="preserve">1. Hoja de ruta</w:t>
      </w:r>
      <w:r>
        <w:t xml:space="preserve"> </w:t>
      </w:r>
      <w:r>
        <w:t xml:space="preserve">2. Actividades</w:t>
      </w:r>
      <w:r>
        <w:t xml:space="preserve"> </w:t>
      </w:r>
      <w:r>
        <w:t xml:space="preserve">3. Entregables</w:t>
      </w:r>
      <w:r>
        <w:t xml:space="preserve"> </w:t>
      </w:r>
      <w:r>
        <w:t xml:space="preserve">4. Implementación (fases de implementación)</w:t>
      </w:r>
    </w:p>
    <w:bookmarkStart w:id="0" w:name="fig:f1f55e9a-88ec-4cbc-a8a5-46de450fd8a7"/>
    <w:p>
      <w:pPr>
        <w:pStyle w:val="CaptionedFigure"/>
      </w:pPr>
      <w:bookmarkStart w:id="25" w:name="fig:"/>
      <w:r>
        <w:drawing>
          <wp:inline>
            <wp:extent cx="5600700" cy="4188419"/>
            <wp:effectExtent b="0" l="0" r="0" t="0"/>
            <wp:docPr descr="Figure 1: Relación de desarrollo de las capacidades y la adopción de las arquitecturas de referencia SOA en el FNA." title="" id="23" name="Picture"/>
            <a:graphic>
              <a:graphicData uri="http://schemas.openxmlformats.org/drawingml/2006/picture">
                <pic:pic>
                  <pic:nvPicPr>
                    <pic:cNvPr descr="images/arqref.modelooper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Relación de desarrollo de las capacidades y la adopción de las arquitecturas de referencia SOA en 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2023-08-10T17:23:36Z</dcterms:created>
  <dcterms:modified xsi:type="dcterms:W3CDTF">2023-08-10T17:23:36Z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Administración de las transiciones hacia la arquitectura versión 2.0</vt:lpwstr>
  </property>
  <property fmtid="{D5CDD505-2E9C-101B-9397-08002B2CF9AE}" pid="7" name="references">
    <vt:lpwstr/>
  </property>
</Properties>
</file>