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las transiciones hacia la arquitectura versión 2.0:</w:t>
            </w:r>
            <w:r>
              <w:t xml:space="preserve"> </w:t>
            </w:r>
            <w:r>
              <w:rPr>
                <w:bCs/>
                <w:b/>
              </w:rPr>
              <w:t xml:space="preserve">Relación de las transiciones con las capacidades de negocio y tecnología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Estadios de adopción, Adopción, Capacidades de arquitectura, Capacidades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1.b62678e</w:t>
            </w:r>
            <w:r>
              <w:t xml:space="preserve"> </w:t>
            </w:r>
            <w:r>
              <w:t xml:space="preserve">del 14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Modelo Operativo SOA</w:t>
      </w:r>
      <w:r>
        <w:t xml:space="preserve"> </w:t>
      </w:r>
      <w:r>
        <w:t xml:space="preserve">1. Hoja de ruta</w:t>
      </w:r>
      <w:r>
        <w:t xml:space="preserve"> </w:t>
      </w:r>
      <w:r>
        <w:t xml:space="preserve">2. Actividades</w:t>
      </w:r>
      <w:r>
        <w:t xml:space="preserve"> </w:t>
      </w:r>
      <w:r>
        <w:t xml:space="preserve">3. Entregables</w:t>
      </w:r>
      <w:r>
        <w:t xml:space="preserve"> </w:t>
      </w:r>
      <w:r>
        <w:t xml:space="preserve">4. Implementación (fases de implementación)</w:t>
      </w:r>
    </w:p>
    <w:bookmarkStart w:id="0" w:name="fig:5fefb7aa-47b9-45a6-9810-73970a0b39f1"/>
    <w:p>
      <w:pPr>
        <w:pStyle w:val="CaptionedFigure"/>
      </w:pPr>
      <w:bookmarkStart w:id="25" w:name="fig:"/>
      <w:r>
        <w:drawing>
          <wp:inline>
            <wp:extent cx="5600700" cy="4188419"/>
            <wp:effectExtent b="0" l="0" r="0" t="0"/>
            <wp:docPr descr="Figure 1: Relación de desarrollo de las capacidades y la adopción de las arquitecturas de referencia SOA en el FNA." title="" id="23" name="Picture"/>
            <a:graphic>
              <a:graphicData uri="http://schemas.openxmlformats.org/drawingml/2006/picture">
                <pic:pic>
                  <pic:nvPicPr>
                    <pic:cNvPr descr="images/arqref.modelooperSOA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88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Relación de desarrollo de las capacidades y la adopción de las arquitecturas de referencia SOA en el FNA.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2023-08-14T18:52:34Z</dcterms:created>
  <dcterms:modified xsi:type="dcterms:W3CDTF">2023-08-14T18:52:34Z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Administración de las transiciones hacia la arquitectura versión 2.0</vt:lpwstr>
  </property>
  <property fmtid="{D5CDD505-2E9C-101B-9397-08002B2CF9AE}" pid="7" name="references">
    <vt:lpwstr/>
  </property>
</Properties>
</file>