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Etapa</w:t>
      </w:r>
      <w:r>
        <w:t xml:space="preserve"> </w:t>
      </w:r>
      <w:r>
        <w:t xml:space="preserve">2.</w:t>
      </w:r>
      <w:r>
        <w:t xml:space="preserve"> </w:t>
      </w:r>
      <w:r>
        <w:t xml:space="preserve">Ejecución</w:t>
      </w:r>
      <w:r>
        <w:t xml:space="preserve"> </w:t>
      </w:r>
      <w:r>
        <w:t xml:space="preserve">Gobierno</w:t>
      </w:r>
      <w:r>
        <w:t xml:space="preserve"> </w:t>
      </w:r>
      <w:r>
        <w:t xml:space="preserve">SOA</w:t>
      </w:r>
      <w:r>
        <w:t xml:space="preserve"> </w:t>
      </w:r>
      <w:r>
        <w:t xml:space="preserve">del</w:t>
      </w:r>
      <w:r>
        <w:t xml:space="preserve"> </w:t>
      </w:r>
      <w:r>
        <w:t xml:space="preserve">FNA.</w:t>
      </w:r>
      <w:r>
        <w:t xml:space="preserve"> </w:t>
      </w:r>
      <w:r>
        <w:t xml:space="preserve">Incremento</w:t>
      </w:r>
      <w:r>
        <w:t xml:space="preserve"> </w:t>
      </w:r>
      <w:r>
        <w:t xml:space="preserve">1</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STEF@7b94a13</w:t>
        </w:r>
      </w:hyperlink>
      <w:r>
        <w:t xml:space="preserve"> </w:t>
      </w:r>
      <w:r>
        <w:t xml:space="preserve">del August 2, 2023.</w:t>
      </w:r>
      <w:r>
        <w:t xml:space="preserve"> </w:t>
      </w:r>
    </w:p>
    <w:p>
      <w:pPr>
        <w:pStyle w:val="Textoindependiente"/>
      </w:pPr>
      <w:r>
        <w:t xml:space="preserve">   </w:t>
      </w:r>
      <w:r>
        <w:rPr>
          <w:bCs/>
          <w:b/>
        </w:rPr>
        <w:t xml:space="preserve">Versión</w:t>
      </w:r>
      <w:r>
        <w:t xml:space="preserve"> </w:t>
      </w:r>
      <w:r>
        <w:t xml:space="preserve">del producto 1.7b94a13 de 02 Aug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Sergio Andrés Castro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PR13. Modelado en lenguaje y herramienta de diseño del FNA​ y PR14. Administración de las transiciones hacia la arquitectura versión 2.0, del proyecto Arquitectura de Referencia SOA 2.0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PRY02 Arquitectura de Referencia SOA 2.0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1.7b94a13 del 02 Aug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02 Aug 2023</w:t>
      </w:r>
    </w:p>
    <w:p>
      <w:pPr>
        <w:pStyle w:val="Textodebloque"/>
      </w:pPr>
      <w:r>
        <w:rPr>
          <w:bCs/>
          <w:b/>
        </w:rPr>
        <w:t xml:space="preserve">Versión</w:t>
      </w:r>
      <w:r>
        <w:t xml:space="preserve"> </w:t>
      </w:r>
      <w:r>
        <w:t xml:space="preserve">1.7b94a13</w:t>
      </w:r>
    </w:p>
    <w:p>
      <w:pPr>
        <w:pStyle w:val="FirstParagraph"/>
      </w:pPr>
    </w:p>
    <w:bookmarkEnd w:id="31"/>
    <w:bookmarkStart w:id="42"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32"/>
    <w:bookmarkStart w:id="33" w:name="contenidos-1"/>
    <w:p>
      <w:pPr>
        <w:pStyle w:val="Ttulo2"/>
      </w:pPr>
      <w:r>
        <w:t xml:space="preserve">Contenidos</w:t>
      </w:r>
    </w:p>
    <w:p>
      <w:pPr>
        <w:numPr>
          <w:ilvl w:val="0"/>
          <w:numId w:val="1002"/>
        </w:numPr>
        <w:pStyle w:val="Compact"/>
      </w:pPr>
      <w:r>
        <w:t xml:space="preserve">Análisis de los elementos del modelo de la arquitectura de referencia SOA 2.0 del FNA</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Documentación técnica 0.2 de la arquitectura de referencia SOA</w:t>
      </w:r>
    </w:p>
    <w:p>
      <w:pPr>
        <w:numPr>
          <w:ilvl w:val="0"/>
          <w:numId w:val="1002"/>
        </w:numPr>
        <w:pStyle w:val="Compact"/>
      </w:pPr>
      <w:r>
        <w:t xml:space="preserve">Proceso de mantenimiento de la arquitectura de referencia SOA 2.0 del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Repositorio de arquitectura del FNA actualizado con arquitectura de referencia</w:t>
      </w:r>
    </w:p>
    <w:p>
      <w:pPr>
        <w:numPr>
          <w:ilvl w:val="0"/>
          <w:numId w:val="1003"/>
        </w:numPr>
        <w:pStyle w:val="Compact"/>
      </w:pPr>
      <w:r>
        <w:t xml:space="preserve">Entendimiento del proceso de mantenimiento de la arquitectura de referencia SOA 2.0 del FNA y sus implicaciones</w:t>
      </w:r>
    </w:p>
    <w:p>
      <w:pPr>
        <w:pStyle w:val="FirstParagraph"/>
      </w:pPr>
    </w:p>
    <w:bookmarkEnd w:id="34"/>
    <w:bookmarkStart w:id="36" w:name="X2260ad506a532d59ca3165e327d1d5490ed12e5"/>
    <w:p>
      <w:pPr>
        <w:pStyle w:val="Ttulo2"/>
      </w:pPr>
      <w:r>
        <w:t xml:space="preserve">Repositorio de Arquitectura del FNA, versión 0.1</w:t>
      </w:r>
    </w:p>
    <w:bookmarkStart w:id="0" w:name="fig:ef870331-a7e2-45a3-ad3f-5b6de4a14574"/>
    <w:p>
      <w:pPr>
        <w:pStyle w:val="FirstParagraph"/>
      </w:pPr>
      <w:bookmarkStart w:id="35" w:name="fig:"/>
      <w:r>
        <w:t xml:space="preserve">Imagen 1: Artefactos del repositorio de arquitectura del FNA.</w:t>
      </w:r>
      <w:bookmarkEnd w:id="35"/>
    </w:p>
    <w:bookmarkEnd w:id="0"/>
    <w:p>
      <w:pPr>
        <w:pStyle w:val="Textoindependiente"/>
      </w:pPr>
      <w:r>
        <w:rPr>
          <w:iCs/>
          <w:i/>
        </w:rPr>
        <w:t xml:space="preserve">Fuente: Diagnóstico SOA. E-Service (2022).</w:t>
      </w:r>
    </w:p>
    <w:bookmarkEnd w:id="36"/>
    <w:bookmarkStart w:id="41" w:name="modelo-de-implementación-del-pry02"/>
    <w:p>
      <w:pPr>
        <w:pStyle w:val="Ttulo2"/>
      </w:pPr>
      <w:r>
        <w:t xml:space="preserve">Modelo de Implementación del PRY02</w:t>
      </w:r>
    </w:p>
    <w:bookmarkStart w:id="0" w:name="fig:ec9a2bc3-f8fd-4213-8277-cc4d3769c0cc"/>
    <w:p>
      <w:pPr>
        <w:pStyle w:val="CaptionedFigure"/>
      </w:pPr>
      <w:bookmarkStart w:id="40" w:name="fig:"/>
      <w:r>
        <w:drawing>
          <wp:inline>
            <wp:extent cx="5600700" cy="4264411"/>
            <wp:effectExtent b="0" l="0" r="0" t="0"/>
            <wp:docPr descr="Imagen 2: Plan de Implementación del Proyecto Arquitectura de Referencia SOA 2.0 del FNA (PRY02), 2023. Junio 2023 a julio 2023" title="" id="38" name="Picture"/>
            <a:graphic>
              <a:graphicData uri="http://schemas.openxmlformats.org/drawingml/2006/picture">
                <pic:pic>
                  <pic:nvPicPr>
                    <pic:cNvPr descr="images/pry2.png" id="39"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40"/>
    </w:p>
    <w:p>
      <w:pPr>
        <w:pStyle w:val="ImageCaption"/>
      </w:pPr>
      <w:r>
        <w:t xml:space="preserve">Imagen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02 Aug 2023</w:t>
      </w:r>
    </w:p>
    <w:p>
      <w:pPr>
        <w:pStyle w:val="Textodebloque"/>
      </w:pPr>
      <w:r>
        <w:rPr>
          <w:bCs/>
          <w:b/>
        </w:rPr>
        <w:t xml:space="preserve">Versión</w:t>
      </w:r>
      <w:r>
        <w:t xml:space="preserve"> </w:t>
      </w:r>
      <w:r>
        <w:t xml:space="preserve">1.7b94a13</w:t>
      </w:r>
    </w:p>
    <w:p>
      <w:pPr>
        <w:pStyle w:val="FirstParagraph"/>
      </w:pPr>
    </w:p>
    <w:bookmarkEnd w:id="41"/>
    <w:bookmarkEnd w:id="42"/>
    <w:bookmarkStart w:id="50"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43" w:name="justificación-1"/>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43"/>
    <w:bookmarkStart w:id="44" w:name="contenidos-2"/>
    <w:p>
      <w:pPr>
        <w:pStyle w:val="Ttulo2"/>
      </w:pPr>
      <w:r>
        <w:t xml:space="preserve">Contenidos</w:t>
      </w:r>
    </w:p>
    <w:p>
      <w:pPr>
        <w:numPr>
          <w:ilvl w:val="0"/>
          <w:numId w:val="1004"/>
        </w:numPr>
        <w:pStyle w:val="Compact"/>
      </w:pPr>
      <w:r>
        <w:t xml:space="preserve">Posibles estadios de adopción y madurez de las arquitecturas para el FNA</w:t>
      </w:r>
    </w:p>
    <w:p>
      <w:pPr>
        <w:numPr>
          <w:ilvl w:val="0"/>
          <w:numId w:val="1004"/>
        </w:numPr>
        <w:pStyle w:val="Compact"/>
      </w:pPr>
      <w:r>
        <w:t xml:space="preserve">Relación de las transiciones con las capacidades de negocio y tecnología del FNA</w:t>
      </w:r>
    </w:p>
    <w:p>
      <w:pPr>
        <w:numPr>
          <w:ilvl w:val="0"/>
          <w:numId w:val="1004"/>
        </w:numPr>
        <w:pStyle w:val="Compact"/>
      </w:pPr>
      <w:r>
        <w:t xml:space="preserve">Relación de las transiciones con la efectividad (madurez) de los servicios SOA del FNA</w:t>
      </w:r>
    </w:p>
    <w:p>
      <w:pPr>
        <w:numPr>
          <w:ilvl w:val="0"/>
          <w:numId w:val="1004"/>
        </w:numPr>
        <w:pStyle w:val="Compact"/>
      </w:pPr>
      <w:r>
        <w:t xml:space="preserve">Métodos del FNA para la creación y gestión de arquitecturas de transición</w:t>
      </w:r>
    </w:p>
    <w:p>
      <w:pPr>
        <w:numPr>
          <w:ilvl w:val="0"/>
          <w:numId w:val="1004"/>
        </w:numPr>
        <w:pStyle w:val="Compact"/>
      </w:pPr>
      <w:r>
        <w:t xml:space="preserve">Criterios y métodos de evaluación de arquitecturas de transición</w:t>
      </w:r>
    </w:p>
    <w:p>
      <w:pPr>
        <w:pStyle w:val="FirstParagraph"/>
      </w:pPr>
    </w:p>
    <w:bookmarkEnd w:id="44"/>
    <w:bookmarkStart w:id="45" w:name="criterios-de-aceptación-1"/>
    <w:p>
      <w:pPr>
        <w:pStyle w:val="Ttulo2"/>
      </w:pPr>
      <w:r>
        <w:t xml:space="preserve">Criterios de Aceptación</w:t>
      </w:r>
    </w:p>
    <w:p>
      <w:pPr>
        <w:numPr>
          <w:ilvl w:val="0"/>
          <w:numId w:val="1005"/>
        </w:numPr>
        <w:pStyle w:val="Compact"/>
      </w:pPr>
      <w:r>
        <w:t xml:space="preserve">Entendimiento de los métodos, tanto de creación de transiciones, como de hoja de rutas para su aplicación en el FNA</w:t>
      </w:r>
    </w:p>
    <w:p>
      <w:pPr>
        <w:numPr>
          <w:ilvl w:val="0"/>
          <w:numId w:val="1005"/>
        </w:numPr>
        <w:pStyle w:val="Compact"/>
      </w:pPr>
      <w:r>
        <w:t xml:space="preserve">Entendimiento del relacionamiento de las capacidades del FNA y los índices de madurez SOA con las arquitecturas de transición</w:t>
      </w:r>
    </w:p>
    <w:p>
      <w:pPr>
        <w:numPr>
          <w:ilvl w:val="0"/>
          <w:numId w:val="1005"/>
        </w:numPr>
        <w:pStyle w:val="Compact"/>
      </w:pPr>
      <w:r>
        <w:t xml:space="preserve">Entendimiento del método para gestionar las arquitecturas de transición del FNA</w:t>
      </w:r>
    </w:p>
    <w:p>
      <w:pPr>
        <w:numPr>
          <w:ilvl w:val="0"/>
          <w:numId w:val="1005"/>
        </w:numPr>
        <w:pStyle w:val="Compact"/>
      </w:pPr>
      <w:r>
        <w:t xml:space="preserve">Entendimiento del rol de la Oficina de Arquitectura en la gestión de las arquitecturas de transición del FNA</w:t>
      </w:r>
    </w:p>
    <w:p>
      <w:pPr>
        <w:pStyle w:val="FirstParagraph"/>
      </w:pPr>
    </w:p>
    <w:bookmarkEnd w:id="45"/>
    <w:bookmarkStart w:id="49" w:name="modelo-de-implementación-del-pry02-1"/>
    <w:p>
      <w:pPr>
        <w:pStyle w:val="Ttulo2"/>
      </w:pPr>
      <w:r>
        <w:t xml:space="preserve">Modelo de Implementación del PRY02</w:t>
      </w:r>
    </w:p>
    <w:bookmarkStart w:id="0" w:name="fig:4079fcbb-0d52-4ca4-8213-660e815537ce"/>
    <w:p>
      <w:pPr>
        <w:pStyle w:val="CaptionedFigure"/>
      </w:pPr>
      <w:bookmarkStart w:id="48" w:name="fig:"/>
      <w:r>
        <w:drawing>
          <wp:inline>
            <wp:extent cx="5600700" cy="4264411"/>
            <wp:effectExtent b="0" l="0" r="0" t="0"/>
            <wp:docPr descr="Imagen 3: Plan de Implementación del Proyecto Arquitectura de Referencia SOA 2.0 del FNA (PRY02), 2023. Junio 2023 a julio 2023" title="" id="46" name="Picture"/>
            <a:graphic>
              <a:graphicData uri="http://schemas.openxmlformats.org/drawingml/2006/picture">
                <pic:pic>
                  <pic:nvPicPr>
                    <pic:cNvPr descr="images/pry2.png" id="47"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48"/>
    </w:p>
    <w:p>
      <w:pPr>
        <w:pStyle w:val="ImageCaption"/>
      </w:pPr>
      <w:r>
        <w:t xml:space="preserve">Imagen 3: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bookmarkEnd w:id="49"/>
    <w:bookmarkEnd w:id="50"/>
    <w:bookmarkStart w:id="62" w:name="referencias"/>
    <w:p>
      <w:pPr>
        <w:pStyle w:val="Ttulo1"/>
      </w:pPr>
      <w:r>
        <w:t xml:space="preserve">Referencias</w:t>
      </w:r>
    </w:p>
    <w:bookmarkStart w:id="61"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r>
        <w:t xml:space="preserve"> </w:t>
      </w:r>
      <w:r>
        <w:t xml:space="preserve">[</w:t>
      </w:r>
      <w:hyperlink w:anchor="ref-c3MMLZMM">
        <w:r>
          <w:rPr>
            <w:rStyle w:val="Hipervnculo"/>
          </w:rPr>
          <w:t xml:space="preserve">6</w:t>
        </w:r>
      </w:hyperlink>
      <w:r>
        <w:t xml:space="preserve">]</w:t>
      </w:r>
      <w:r>
        <w:t xml:space="preserve"> </w:t>
      </w:r>
      <w:r>
        <w:t xml:space="preserve">[</w:t>
      </w:r>
      <w:hyperlink w:anchor="ref-eu2uss54">
        <w:r>
          <w:rPr>
            <w:rStyle w:val="Hipervnculo"/>
          </w:rPr>
          <w:t xml:space="preserve">7</w:t>
        </w:r>
      </w:hyperlink>
      <w:r>
        <w:t xml:space="preserve">]</w:t>
      </w:r>
    </w:p>
    <w:bookmarkStart w:id="52"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51">
        <w:r>
          <w:rPr>
            <w:rStyle w:val="Hipervnculo"/>
          </w:rPr>
          <w:t xml:space="preserve">https://hwong23.github.io/fna-devdoc-f1/v/6497aef0f15c3591f0728e4c42cb2c26c13b43aa/</w:t>
        </w:r>
      </w:hyperlink>
    </w:p>
    <w:bookmarkEnd w:id="52"/>
    <w:bookmarkStart w:id="53"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51">
        <w:r>
          <w:rPr>
            <w:rStyle w:val="Hipervnculo"/>
          </w:rPr>
          <w:t xml:space="preserve">https://hwong23.github.io/fna-devdoc-f1/v/6497aef0f15c3591f0728e4c42cb2c26c13b43aa/</w:t>
        </w:r>
      </w:hyperlink>
    </w:p>
    <w:bookmarkEnd w:id="53"/>
    <w:bookmarkStart w:id="54"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51">
        <w:r>
          <w:rPr>
            <w:rStyle w:val="Hipervnculo"/>
          </w:rPr>
          <w:t xml:space="preserve">https://hwong23.github.io/fna-devdoc-f1/v/6497aef0f15c3591f0728e4c42cb2c26c13b43aa/</w:t>
        </w:r>
      </w:hyperlink>
    </w:p>
    <w:bookmarkEnd w:id="54"/>
    <w:bookmarkStart w:id="56"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55">
        <w:r>
          <w:rPr>
            <w:rStyle w:val="Hipervnculo"/>
          </w:rPr>
          <w:t xml:space="preserve">https://pubs.opengroup.org/architecture/togaf9-doc/arch/chap27.html</w:t>
        </w:r>
      </w:hyperlink>
    </w:p>
    <w:bookmarkEnd w:id="56"/>
    <w:bookmarkStart w:id="57"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55">
        <w:r>
          <w:rPr>
            <w:rStyle w:val="Hipervnculo"/>
          </w:rPr>
          <w:t xml:space="preserve">https://pubs.opengroup.org/architecture/togaf9-doc/arch/chap27.html</w:t>
        </w:r>
      </w:hyperlink>
    </w:p>
    <w:bookmarkEnd w:id="57"/>
    <w:bookmarkStart w:id="59"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58">
        <w:r>
          <w:rPr>
            <w:rStyle w:val="Hipervnculo"/>
          </w:rPr>
          <w:t xml:space="preserve">https://hwong23.github.io/fna-dd-f2-e1/</w:t>
        </w:r>
      </w:hyperlink>
    </w:p>
    <w:bookmarkEnd w:id="59"/>
    <w:bookmarkStart w:id="60"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58">
        <w:r>
          <w:rPr>
            <w:rStyle w:val="Hipervnculo"/>
          </w:rPr>
          <w:t xml:space="preserve">https://hwong23.github.io/fna-dd-f2-e1/</w:t>
        </w:r>
      </w:hyperlink>
    </w:p>
    <w:bookmarkEnd w:id="60"/>
    <w:bookmarkEnd w:id="61"/>
    <w:bookmarkEnd w:id="6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7" Target="media/rId37.png"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58" Target="https://hwong23.github.io/fna-dd-f2-e1/" TargetMode="External" /><Relationship Type="http://schemas.openxmlformats.org/officeDocument/2006/relationships/hyperlink" Id="rId20" Target="https://hwong23.github.io/fna-dd-f2-pry2-e2/v/7b94a13af90a555a0ba1d1153ecd4d01712f3ff8/" TargetMode="External" /><Relationship Type="http://schemas.openxmlformats.org/officeDocument/2006/relationships/hyperlink" Id="rId51" Target="https://hwong23.github.io/fna-devdoc-f1/v/6497aef0f15c3591f0728e4c42cb2c26c13b43aa/" TargetMode="External" /><Relationship Type="http://schemas.openxmlformats.org/officeDocument/2006/relationships/hyperlink" Id="rId55"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58" Target="https://hwong23.github.io/fna-dd-f2-e1/" TargetMode="External" /><Relationship Type="http://schemas.openxmlformats.org/officeDocument/2006/relationships/hyperlink" Id="rId20" Target="https://hwong23.github.io/fna-dd-f2-pry2-e2/v/7b94a13af90a555a0ba1d1153ecd4d01712f3ff8/" TargetMode="External" /><Relationship Type="http://schemas.openxmlformats.org/officeDocument/2006/relationships/hyperlink" Id="rId51" Target="https://hwong23.github.io/fna-devdoc-f1/v/6497aef0f15c3591f0728e4c42cb2c26c13b43aa/" TargetMode="External" /><Relationship Type="http://schemas.openxmlformats.org/officeDocument/2006/relationships/hyperlink" Id="rId55"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2. Ejecución Gobierno SOA del FNA. Incremento 1</dc:title>
  <dc:creator/>
  <dc:language>en-US</dc:language>
  <cp:keywords>SOA, madurez, gobierno, FNA</cp:keywords>
  <dcterms:created xsi:type="dcterms:W3CDTF">2023-08-02T17:12:44Z</dcterms:created>
  <dcterms:modified xsi:type="dcterms:W3CDTF">2023-08-02T17:12:44Z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2023-08-02</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pr14nombre">
    <vt:lpwstr>Administración de las transiciones hacia la arquitectura versión 2.0</vt:lpwstr>
  </property>
  <property fmtid="{D5CDD505-2E9C-101B-9397-08002B2CF9AE}" pid="18" name="references">
    <vt:lpwstr/>
  </property>
  <property fmtid="{D5CDD505-2E9C-101B-9397-08002B2CF9AE}" pid="19" name="tablenos-caption-name">
    <vt:lpwstr>Tabla</vt:lpwstr>
  </property>
</Properties>
</file>