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6.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STEF@a1e7bf5</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1.a1e7bf5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1.a1e7bf5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1.a1e7bf5</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aa5300c7-8c43-436a-9ac1-a98c520dff42"/>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397d7da7-d89b-4ef1-b4da-5972c0295ff5"/>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1.a1e7bf5</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54"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e4848f9-24c1-4e46-bdfe-38fb30004d85"/>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1.a1e7bf5</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52"/>
    <w:bookmarkEnd w:id="53"/>
    <w:bookmarkEnd w:id="54"/>
    <w:bookmarkStart w:id="61" w:name="X65b9a61abc1d230660cf1fc953ba86eaa526a5d"/>
    <w:p>
      <w:pPr>
        <w:pStyle w:val="Ttulo1"/>
      </w:pPr>
      <w:r>
        <w:t xml:space="preserve">Análisis de Elementos Relevantes para la Arquitectura de Referencia SOA 2.0 del FNA</w:t>
      </w:r>
    </w:p>
    <w:bookmarkStart w:id="60" w:name="catálogo-de-servicios-fna-blueprint-1"/>
    <w:p>
      <w:pPr>
        <w:pStyle w:val="Ttulo2"/>
      </w:pPr>
      <w:r>
        <w:t xml:space="preserve">Catálogo de Servicios FNA (blueprint)</w:t>
      </w:r>
    </w:p>
    <w:bookmarkStart w:id="55" w:name="capacidades-de-la-empresa-fna-1"/>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5"/>
        </w:numPr>
        <w:pStyle w:val="Compact"/>
      </w:pPr>
      <w:r>
        <w:t xml:space="preserve">Desarrollo de nuevos negocios</w:t>
      </w:r>
    </w:p>
    <w:p>
      <w:pPr>
        <w:numPr>
          <w:ilvl w:val="0"/>
          <w:numId w:val="1005"/>
        </w:numPr>
        <w:pStyle w:val="Compact"/>
      </w:pPr>
      <w:r>
        <w:t xml:space="preserve">Gestión de Cliente</w:t>
      </w:r>
    </w:p>
    <w:p>
      <w:pPr>
        <w:numPr>
          <w:ilvl w:val="0"/>
          <w:numId w:val="1005"/>
        </w:numPr>
        <w:pStyle w:val="Compact"/>
      </w:pPr>
      <w:r>
        <w:t xml:space="preserve">Administración de Recursos y Negocio</w:t>
      </w:r>
    </w:p>
    <w:p>
      <w:pPr>
        <w:numPr>
          <w:ilvl w:val="0"/>
          <w:numId w:val="1005"/>
        </w:numPr>
        <w:pStyle w:val="Compact"/>
      </w:pPr>
      <w:r>
        <w:t xml:space="preserve">Entrega de Productos</w:t>
      </w:r>
    </w:p>
    <w:p>
      <w:pPr>
        <w:numPr>
          <w:ilvl w:val="0"/>
          <w:numId w:val="1005"/>
        </w:numPr>
        <w:pStyle w:val="Compact"/>
      </w:pPr>
      <w:r>
        <w:t xml:space="preserve">Servicios de Cuentas</w:t>
      </w:r>
    </w:p>
    <w:p>
      <w:pPr>
        <w:numPr>
          <w:ilvl w:val="0"/>
          <w:numId w:val="1005"/>
        </w:numPr>
        <w:pStyle w:val="Compact"/>
      </w:pPr>
      <w:r>
        <w:t xml:space="preserve">Gestión Financiera</w:t>
      </w:r>
    </w:p>
    <w:p>
      <w:pPr>
        <w:pStyle w:val="FirstParagraph"/>
      </w:pPr>
      <w:r>
        <w:rPr>
          <w:iCs/>
          <w:i/>
        </w:rPr>
        <w:t xml:space="preserve">Fuente: Portafolio de Aplicaciones FNA.</w:t>
      </w:r>
    </w:p>
    <w:p>
      <w:pPr>
        <w:pStyle w:val="Textoindependiente"/>
      </w:pPr>
    </w:p>
    <w:bookmarkEnd w:id="55"/>
    <w:bookmarkStart w:id="59" w:name="Xa223cb65e81227b53cf038323541d1df527db14"/>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13dbe96e-f481-42b7-a9d8-f28cc12978b3"/>
    <w:p>
      <w:pPr>
        <w:pStyle w:val="CaptionedFigure"/>
      </w:pPr>
      <w:bookmarkStart w:id="58" w:name="fig:"/>
      <w:r>
        <w:drawing>
          <wp:inline>
            <wp:extent cx="5600700" cy="6526387"/>
            <wp:effectExtent b="0" l="0" r="0" t="0"/>
            <wp:docPr descr="Imagen 4: Capacidades y Servicios SOA (y otras partes de la empresa)" title="" id="56" name="Picture"/>
            <a:graphic>
              <a:graphicData uri="http://schemas.openxmlformats.org/drawingml/2006/picture">
                <pic:pic>
                  <pic:nvPicPr>
                    <pic:cNvPr descr="images/FNA_Arquitectura-Vista%20CapacidadesFNA.png" id="57"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58"/>
    </w:p>
    <w:p>
      <w:pPr>
        <w:pStyle w:val="ImageCaption"/>
      </w:pPr>
      <w:r>
        <w:t xml:space="preserve">Imagen 4: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1.a1e7bf5</w:t>
      </w:r>
    </w:p>
    <w:p>
      <w:pPr>
        <w:pStyle w:val="FirstParagraph"/>
      </w:pPr>
    </w:p>
    <w:bookmarkEnd w:id="59"/>
    <w:bookmarkEnd w:id="60"/>
    <w:bookmarkEnd w:id="61"/>
    <w:bookmarkStart w:id="69"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2"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62"/>
    <w:bookmarkStart w:id="63" w:name="contenidos-2"/>
    <w:p>
      <w:pPr>
        <w:pStyle w:val="Ttulo2"/>
      </w:pPr>
      <w:r>
        <w:t xml:space="preserve">Contenidos</w:t>
      </w:r>
    </w:p>
    <w:p>
      <w:pPr>
        <w:numPr>
          <w:ilvl w:val="0"/>
          <w:numId w:val="1006"/>
        </w:numPr>
        <w:pStyle w:val="Compact"/>
      </w:pPr>
      <w:r>
        <w:t xml:space="preserve">Posibles estadios de adopción y madurez de las arquitecturas para el FNA</w:t>
      </w:r>
    </w:p>
    <w:p>
      <w:pPr>
        <w:numPr>
          <w:ilvl w:val="0"/>
          <w:numId w:val="1006"/>
        </w:numPr>
        <w:pStyle w:val="Compact"/>
      </w:pPr>
      <w:r>
        <w:t xml:space="preserve">Relación de las transiciones con las capacidades de negocio y tecnología del FNA</w:t>
      </w:r>
    </w:p>
    <w:p>
      <w:pPr>
        <w:numPr>
          <w:ilvl w:val="0"/>
          <w:numId w:val="1006"/>
        </w:numPr>
        <w:pStyle w:val="Compact"/>
      </w:pPr>
      <w:r>
        <w:t xml:space="preserve">Relación de las transiciones con la efectividad (madurez) de los servicios SOA del FNA</w:t>
      </w:r>
    </w:p>
    <w:p>
      <w:pPr>
        <w:numPr>
          <w:ilvl w:val="0"/>
          <w:numId w:val="1006"/>
        </w:numPr>
        <w:pStyle w:val="Compact"/>
      </w:pPr>
      <w:r>
        <w:t xml:space="preserve">Métodos del FNA para la creación y gestión de arquitecturas de transición</w:t>
      </w:r>
    </w:p>
    <w:p>
      <w:pPr>
        <w:numPr>
          <w:ilvl w:val="0"/>
          <w:numId w:val="1006"/>
        </w:numPr>
        <w:pStyle w:val="Compact"/>
      </w:pPr>
      <w:r>
        <w:t xml:space="preserve">Criterios y métodos de evaluación de arquitecturas de transición</w:t>
      </w:r>
    </w:p>
    <w:p>
      <w:pPr>
        <w:pStyle w:val="FirstParagraph"/>
      </w:pPr>
    </w:p>
    <w:bookmarkEnd w:id="63"/>
    <w:bookmarkStart w:id="64" w:name="criterios-de-aceptación-1"/>
    <w:p>
      <w:pPr>
        <w:pStyle w:val="Ttulo2"/>
      </w:pPr>
      <w:r>
        <w:t xml:space="preserve">Criterios de Aceptación</w:t>
      </w:r>
    </w:p>
    <w:p>
      <w:pPr>
        <w:numPr>
          <w:ilvl w:val="0"/>
          <w:numId w:val="1007"/>
        </w:numPr>
        <w:pStyle w:val="Compact"/>
      </w:pPr>
      <w:r>
        <w:t xml:space="preserve">Entendimiento de los métodos, tanto de creación de transiciones, como de hoja de rutas para su aplicación en el FNA</w:t>
      </w:r>
    </w:p>
    <w:p>
      <w:pPr>
        <w:numPr>
          <w:ilvl w:val="0"/>
          <w:numId w:val="1007"/>
        </w:numPr>
        <w:pStyle w:val="Compact"/>
      </w:pPr>
      <w:r>
        <w:t xml:space="preserve">Entendimiento del relacionamiento de las capacidades del FNA y los índices de madurez SOA con las arquitecturas de transición</w:t>
      </w:r>
    </w:p>
    <w:p>
      <w:pPr>
        <w:numPr>
          <w:ilvl w:val="0"/>
          <w:numId w:val="1007"/>
        </w:numPr>
        <w:pStyle w:val="Compact"/>
      </w:pPr>
      <w:r>
        <w:t xml:space="preserve">Entendimiento del método para gestionar las arquitecturas de transición del FNA</w:t>
      </w:r>
    </w:p>
    <w:p>
      <w:pPr>
        <w:numPr>
          <w:ilvl w:val="0"/>
          <w:numId w:val="1007"/>
        </w:numPr>
        <w:pStyle w:val="Compact"/>
      </w:pPr>
      <w:r>
        <w:t xml:space="preserve">Entendimiento del rol de la Oficina de Arquitectura en la gestión de las arquitecturas de transición del FNA</w:t>
      </w:r>
    </w:p>
    <w:p>
      <w:pPr>
        <w:pStyle w:val="FirstParagraph"/>
      </w:pPr>
    </w:p>
    <w:bookmarkEnd w:id="64"/>
    <w:bookmarkStart w:id="68" w:name="modelo-de-implementación-del-pry02-1"/>
    <w:p>
      <w:pPr>
        <w:pStyle w:val="Ttulo2"/>
      </w:pPr>
      <w:r>
        <w:t xml:space="preserve">Modelo de Implementación del PRY02</w:t>
      </w:r>
    </w:p>
    <w:bookmarkStart w:id="0" w:name="fig:27922a26-4c13-4a96-b710-0fce671db185"/>
    <w:p>
      <w:pPr>
        <w:pStyle w:val="CaptionedFigure"/>
      </w:pPr>
      <w:bookmarkStart w:id="67" w:name="fig:"/>
      <w:r>
        <w:drawing>
          <wp:inline>
            <wp:extent cx="5600700" cy="4264411"/>
            <wp:effectExtent b="0" l="0" r="0" t="0"/>
            <wp:docPr descr="Imagen 5: Plan de Implementación del Proyecto Arquitectura de Referencia SOA 2.0 del FNA (PRY02), 2023. Junio 2023 a julio 2023" title="" id="65" name="Picture"/>
            <a:graphic>
              <a:graphicData uri="http://schemas.openxmlformats.org/drawingml/2006/picture">
                <pic:pic>
                  <pic:nvPicPr>
                    <pic:cNvPr descr="images/pry2.png" id="66"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67"/>
    </w:p>
    <w:p>
      <w:pPr>
        <w:pStyle w:val="ImageCaption"/>
      </w:pPr>
      <w:r>
        <w:t xml:space="preserve">Imagen 5: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2/v/a1e7bf5df9f20a1247bb5ad6f4ff0904503cbbd3/"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2/v/a1e7bf5df9f20a1247bb5ad6f4ff0904503cbbd3/"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2023-08-04T03:10:39Z</dcterms:created>
  <dcterms:modified xsi:type="dcterms:W3CDTF">2023-08-04T03:10:39Z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