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103.png" ContentType="image/png"/>
  <Override PartName="/word/media/rId89.png" ContentType="image/png"/>
  <Override PartName="/word/media/rId98.png" ContentType="image/png"/>
  <Override PartName="/word/media/rId93.png" ContentType="image/png"/>
  <Override PartName="/word/media/rId62.png" ContentType="image/png"/>
  <Override PartName="/word/media/rId7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STEF@a5b1837</w:t>
        </w:r>
      </w:hyperlink>
      <w:r>
        <w:t xml:space="preserve"> </w:t>
      </w:r>
      <w:r>
        <w:t xml:space="preserve">del August 10, 2023.</w:t>
      </w:r>
      <w:r>
        <w:t xml:space="preserve"> </w:t>
      </w:r>
    </w:p>
    <w:p>
      <w:pPr>
        <w:pStyle w:val="Textoindependiente"/>
      </w:pPr>
      <w:r>
        <w:t xml:space="preserve">   </w:t>
      </w:r>
      <w:r>
        <w:rPr>
          <w:bCs/>
          <w:b/>
        </w:rPr>
        <w:t xml:space="preserve">Versión</w:t>
      </w:r>
      <w:r>
        <w:t xml:space="preserve"> </w:t>
      </w:r>
      <w:r>
        <w:t xml:space="preserve">del producto 1.a5b1837 de 10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1.a5b1837 del 10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1.a5b1837</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9a68baf1-6d39-4d66-83ce-30571f7e0729"/>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996660ac-7cca-4857-9310-528fa2636df4"/>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1.a5b1837</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c3450a4e-165b-4d1e-be03-1a8b828b9257"/>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fdd0b277-b47a-471b-ab8e-54f1c023f020"/>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7bbba5ad-f603-42d8-a7b9-98cc74135e77"/>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68" w:name="tbl:alienacion-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1.a5b1837</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70"/>
    <w:bookmarkEnd w:id="71"/>
    <w:bookmarkEnd w:id="72"/>
    <w:bookmarkStart w:id="80"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73" w:name="tbl:contenidos-id"/>
    <w:p>
      <w:pPr>
        <w:pStyle w:val="TableCaption"/>
      </w:pPr>
      <w:r>
        <w:t xml:space="preserve">Tabla 5: Clasificación de información del repositorio del FNA.</w:t>
      </w:r>
      <w:r>
        <w:t xml:space="preserve"> </w:t>
      </w:r>
    </w:p>
    <w:tbl>
      <w:tblPr>
        <w:tblStyle w:val="Table"/>
        <w:tblW w:type="auto" w:w="0"/>
        <w:tblLook w:firstRow="1" w:lastRow="0" w:firstColumn="0" w:lastColumn="0" w:noHBand="0" w:noVBand="0" w:val="0020"/>
        <w:tblCaption w:val="Tabla 5: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73"/>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6"/>
        </w:numPr>
        <w:pStyle w:val="Compact"/>
      </w:pPr>
      <w:r>
        <w:t xml:space="preserve">Redundancias y el atraso de la información de los modelos y conceptos.</w:t>
      </w:r>
    </w:p>
    <w:p>
      <w:pPr>
        <w:numPr>
          <w:ilvl w:val="0"/>
          <w:numId w:val="1006"/>
        </w:numPr>
        <w:pStyle w:val="Compact"/>
      </w:pPr>
      <w:r>
        <w:t xml:space="preserve">Incompletitud en el modelamiento de conceptos, como las capacidades de negocio, o los procesos de negocio del FNA.</w:t>
      </w:r>
    </w:p>
    <w:p>
      <w:pPr>
        <w:numPr>
          <w:ilvl w:val="0"/>
          <w:numId w:val="1006"/>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77" w:name="fig:libreria.png"/>
      <w:r>
        <w:drawing>
          <wp:inline>
            <wp:extent cx="5600700" cy="3558896"/>
            <wp:effectExtent b="0" l="0" r="0" t="0"/>
            <wp:docPr descr="Imagen 6: Herramienta para navegación y clasificación de contenidos del FNA." title="" id="75" name="Picture"/>
            <a:graphic>
              <a:graphicData uri="http://schemas.openxmlformats.org/drawingml/2006/picture">
                <pic:pic>
                  <pic:nvPicPr>
                    <pic:cNvPr descr="images/libreria.png" id="76" name="Picture"/>
                    <pic:cNvPicPr>
                      <a:picLocks noChangeArrowheads="1" noChangeAspect="1"/>
                    </pic:cNvPicPr>
                  </pic:nvPicPr>
                  <pic:blipFill>
                    <a:blip r:embed="rId74"/>
                    <a:stretch>
                      <a:fillRect/>
                    </a:stretch>
                  </pic:blipFill>
                  <pic:spPr bwMode="auto">
                    <a:xfrm>
                      <a:off x="0" y="0"/>
                      <a:ext cx="5600700" cy="3558896"/>
                    </a:xfrm>
                    <a:prstGeom prst="rect">
                      <a:avLst/>
                    </a:prstGeom>
                    <a:noFill/>
                    <a:ln w="9525">
                      <a:noFill/>
                      <a:headEnd/>
                      <a:tailEnd/>
                    </a:ln>
                  </pic:spPr>
                </pic:pic>
              </a:graphicData>
            </a:graphic>
          </wp:inline>
        </w:drawing>
      </w:r>
      <w:bookmarkEnd w:id="77"/>
    </w:p>
    <w:p>
      <w:pPr>
        <w:pStyle w:val="ImageCaption"/>
      </w:pPr>
      <w:r>
        <w:t xml:space="preserve">Imagen 6: Herramienta para navegación y clasificación de contenidos del FNA.</w:t>
      </w:r>
    </w:p>
    <w:bookmarkEnd w:id="0"/>
    <w:p>
      <w:pPr>
        <w:pStyle w:val="Textoindependiente"/>
      </w:pPr>
      <w:r>
        <w:rPr>
          <w:iCs/>
          <w:i/>
        </w:rPr>
        <w:t xml:space="preserve">Fuente: elaboración propia.</w:t>
      </w:r>
    </w:p>
    <w:bookmarkStart w:id="79"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78">
        <w:r>
          <w:rPr>
            <w:rStyle w:val="Hipervnculo"/>
          </w:rPr>
          <w:t xml:space="preserve">Repositorio SOA</w:t>
        </w:r>
      </w:hyperlink>
      <w:r>
        <w:t xml:space="preserve">.</w:t>
      </w:r>
    </w:p>
    <w:p>
      <w:pPr>
        <w:numPr>
          <w:ilvl w:val="0"/>
          <w:numId w:val="1007"/>
        </w:numPr>
        <w:pStyle w:val="Compact"/>
      </w:pPr>
      <w:r>
        <w:t xml:space="preserve">2015-06-01 modelo arquitectura togaf - fna banca digital v6.archimate</w:t>
      </w:r>
    </w:p>
    <w:p>
      <w:pPr>
        <w:numPr>
          <w:ilvl w:val="0"/>
          <w:numId w:val="1007"/>
        </w:numPr>
        <w:pStyle w:val="Compact"/>
      </w:pPr>
      <w:r>
        <w:t xml:space="preserve">aa002 - cobis ahorro voluntario.archimate</w:t>
      </w:r>
    </w:p>
    <w:p>
      <w:pPr>
        <w:numPr>
          <w:ilvl w:val="0"/>
          <w:numId w:val="1007"/>
        </w:numPr>
        <w:pStyle w:val="Compact"/>
      </w:pPr>
      <w:r>
        <w:t xml:space="preserve">aa003-cobis cesantias.archimate</w:t>
      </w:r>
    </w:p>
    <w:p>
      <w:pPr>
        <w:numPr>
          <w:ilvl w:val="0"/>
          <w:numId w:val="1007"/>
        </w:numPr>
        <w:pStyle w:val="Compact"/>
      </w:pPr>
      <w:r>
        <w:t xml:space="preserve">aa005-cobis cartera.archimate</w:t>
      </w:r>
    </w:p>
    <w:p>
      <w:pPr>
        <w:numPr>
          <w:ilvl w:val="0"/>
          <w:numId w:val="1007"/>
        </w:numPr>
        <w:pStyle w:val="Compact"/>
      </w:pPr>
      <w:r>
        <w:t xml:space="preserve">aa006-cobis tramites.archimate</w:t>
      </w:r>
    </w:p>
    <w:p>
      <w:pPr>
        <w:numPr>
          <w:ilvl w:val="0"/>
          <w:numId w:val="1007"/>
        </w:numPr>
        <w:pStyle w:val="Compact"/>
      </w:pPr>
      <w:r>
        <w:t xml:space="preserve">aa015-cobis clientes.archimate</w:t>
      </w:r>
    </w:p>
    <w:p>
      <w:pPr>
        <w:numPr>
          <w:ilvl w:val="0"/>
          <w:numId w:val="1007"/>
        </w:numPr>
        <w:pStyle w:val="Compact"/>
      </w:pPr>
      <w:r>
        <w:t xml:space="preserve">aa020-banca virtual.archimate</w:t>
      </w:r>
    </w:p>
    <w:p>
      <w:pPr>
        <w:numPr>
          <w:ilvl w:val="0"/>
          <w:numId w:val="1007"/>
        </w:numPr>
        <w:pStyle w:val="Compact"/>
      </w:pPr>
      <w:r>
        <w:t xml:space="preserve">aa021-fondo en linea.archimate</w:t>
      </w:r>
    </w:p>
    <w:p>
      <w:pPr>
        <w:numPr>
          <w:ilvl w:val="0"/>
          <w:numId w:val="1007"/>
        </w:numPr>
        <w:pStyle w:val="Compact"/>
      </w:pPr>
      <w:r>
        <w:t xml:space="preserve">aa074-fondo en linea personal.archimate</w:t>
      </w:r>
    </w:p>
    <w:p>
      <w:pPr>
        <w:numPr>
          <w:ilvl w:val="0"/>
          <w:numId w:val="1007"/>
        </w:numPr>
        <w:pStyle w:val="Compact"/>
      </w:pPr>
      <w:r>
        <w:rPr>
          <w:bCs/>
          <w:b/>
        </w:rPr>
        <w:t xml:space="preserve">aa091-cobis cx.archimate</w:t>
      </w:r>
    </w:p>
    <w:p>
      <w:pPr>
        <w:numPr>
          <w:ilvl w:val="0"/>
          <w:numId w:val="1007"/>
        </w:numPr>
        <w:pStyle w:val="Compact"/>
      </w:pPr>
      <w:r>
        <w:rPr>
          <w:bCs/>
          <w:b/>
        </w:rPr>
        <w:t xml:space="preserve">ae_fna.archimate</w:t>
      </w:r>
    </w:p>
    <w:p>
      <w:pPr>
        <w:numPr>
          <w:ilvl w:val="0"/>
          <w:numId w:val="1007"/>
        </w:numPr>
        <w:pStyle w:val="Compact"/>
      </w:pPr>
      <w:r>
        <w:rPr>
          <w:bCs/>
          <w:b/>
        </w:rPr>
        <w:t xml:space="preserve">ae_fna_as_is.archimate</w:t>
      </w:r>
    </w:p>
    <w:p>
      <w:pPr>
        <w:numPr>
          <w:ilvl w:val="0"/>
          <w:numId w:val="1007"/>
        </w:numPr>
        <w:pStyle w:val="Compact"/>
      </w:pPr>
      <w:r>
        <w:t xml:space="preserve">ae_fna_tobe.archimate</w:t>
      </w:r>
    </w:p>
    <w:p>
      <w:pPr>
        <w:numPr>
          <w:ilvl w:val="0"/>
          <w:numId w:val="1007"/>
        </w:numPr>
        <w:pStyle w:val="Compact"/>
      </w:pPr>
      <w:r>
        <w:t xml:space="preserve">arquitectura banca digital v4.archimate</w:t>
      </w:r>
    </w:p>
    <w:p>
      <w:pPr>
        <w:numPr>
          <w:ilvl w:val="0"/>
          <w:numId w:val="1007"/>
        </w:numPr>
        <w:pStyle w:val="Compact"/>
      </w:pPr>
      <w:r>
        <w:rPr>
          <w:bCs/>
          <w:b/>
        </w:rPr>
        <w:t xml:space="preserve">arquitectura fna.archimate</w:t>
      </w:r>
    </w:p>
    <w:p>
      <w:pPr>
        <w:numPr>
          <w:ilvl w:val="0"/>
          <w:numId w:val="1007"/>
        </w:numPr>
        <w:pStyle w:val="Compact"/>
      </w:pPr>
      <w:r>
        <w:t xml:space="preserve">arquitectura movil_v1.archimate</w:t>
      </w:r>
    </w:p>
    <w:p>
      <w:pPr>
        <w:numPr>
          <w:ilvl w:val="0"/>
          <w:numId w:val="1007"/>
        </w:numPr>
        <w:pStyle w:val="Compact"/>
      </w:pPr>
      <w:r>
        <w:t xml:space="preserve">arquitectura movil_v2.archimate</w:t>
      </w:r>
    </w:p>
    <w:p>
      <w:pPr>
        <w:numPr>
          <w:ilvl w:val="0"/>
          <w:numId w:val="1007"/>
        </w:numPr>
        <w:pStyle w:val="Compact"/>
      </w:pPr>
      <w:r>
        <w:t xml:space="preserve">fna_proyectos v2.0.archimate</w:t>
      </w:r>
    </w:p>
    <w:p>
      <w:pPr>
        <w:numPr>
          <w:ilvl w:val="0"/>
          <w:numId w:val="1007"/>
        </w:numPr>
        <w:pStyle w:val="Compact"/>
      </w:pPr>
      <w:r>
        <w:t xml:space="preserve">information_architecture_bi_ba_md_archixml.archimate</w:t>
      </w:r>
    </w:p>
    <w:p>
      <w:pPr>
        <w:numPr>
          <w:ilvl w:val="0"/>
          <w:numId w:val="1007"/>
        </w:numPr>
        <w:pStyle w:val="Compact"/>
      </w:pPr>
      <w:r>
        <w:t xml:space="preserve">ivr.archimate</w:t>
      </w:r>
    </w:p>
    <w:p>
      <w:pPr>
        <w:numPr>
          <w:ilvl w:val="0"/>
          <w:numId w:val="1007"/>
        </w:numPr>
        <w:pStyle w:val="Compact"/>
      </w:pPr>
      <w:r>
        <w:t xml:space="preserve">pa0003-pki.archimate</w:t>
      </w:r>
    </w:p>
    <w:p>
      <w:pPr>
        <w:numPr>
          <w:ilvl w:val="0"/>
          <w:numId w:val="1007"/>
        </w:numPr>
        <w:pStyle w:val="Compact"/>
      </w:pPr>
      <w:r>
        <w:t xml:space="preserve">workmanager.archimate</w:t>
      </w:r>
    </w:p>
    <w:p>
      <w:pPr>
        <w:pStyle w:val="FirstParagraph"/>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1.a5b1837</w:t>
      </w:r>
    </w:p>
    <w:p>
      <w:pPr>
        <w:pStyle w:val="FirstParagraph"/>
      </w:pPr>
    </w:p>
    <w:bookmarkEnd w:id="79"/>
    <w:bookmarkEnd w:id="80"/>
    <w:bookmarkStart w:id="8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81"/>
    <w:bookmarkStart w:id="82" w:name="contenidos-2"/>
    <w:p>
      <w:pPr>
        <w:pStyle w:val="Ttulo2"/>
      </w:pPr>
      <w:r>
        <w:t xml:space="preserve">Contenidos</w:t>
      </w:r>
    </w:p>
    <w:p>
      <w:pPr>
        <w:numPr>
          <w:ilvl w:val="0"/>
          <w:numId w:val="1008"/>
        </w:numPr>
        <w:pStyle w:val="Compact"/>
      </w:pPr>
      <w:r>
        <w:t xml:space="preserve">Posibles estadios de adopción y madurez de las arquitecturas para el FNA</w:t>
      </w:r>
    </w:p>
    <w:p>
      <w:pPr>
        <w:numPr>
          <w:ilvl w:val="0"/>
          <w:numId w:val="1008"/>
        </w:numPr>
        <w:pStyle w:val="Compact"/>
      </w:pPr>
      <w:r>
        <w:t xml:space="preserve">Relación de las transiciones con las capacidades de negocio y tecnología del FNA</w:t>
      </w:r>
    </w:p>
    <w:p>
      <w:pPr>
        <w:numPr>
          <w:ilvl w:val="0"/>
          <w:numId w:val="1008"/>
        </w:numPr>
        <w:pStyle w:val="Compact"/>
      </w:pPr>
      <w:r>
        <w:t xml:space="preserve">Relación de las transiciones con la efectividad (madurez) de los servicios SOA del FNA</w:t>
      </w:r>
    </w:p>
    <w:p>
      <w:pPr>
        <w:numPr>
          <w:ilvl w:val="0"/>
          <w:numId w:val="1008"/>
        </w:numPr>
        <w:pStyle w:val="Compact"/>
      </w:pPr>
      <w:r>
        <w:t xml:space="preserve">Métodos del FNA para la creación y gestión de arquitecturas de transición</w:t>
      </w:r>
    </w:p>
    <w:p>
      <w:pPr>
        <w:numPr>
          <w:ilvl w:val="0"/>
          <w:numId w:val="1008"/>
        </w:numPr>
        <w:pStyle w:val="Compact"/>
      </w:pPr>
      <w:r>
        <w:t xml:space="preserve">Criterios y métodos de evaluación de arquitecturas de transición</w:t>
      </w:r>
    </w:p>
    <w:p>
      <w:pPr>
        <w:pStyle w:val="FirstParagraph"/>
      </w:pPr>
    </w:p>
    <w:bookmarkEnd w:id="82"/>
    <w:bookmarkStart w:id="83" w:name="criterios-de-aceptación-1"/>
    <w:p>
      <w:pPr>
        <w:pStyle w:val="Ttulo2"/>
      </w:pPr>
      <w:r>
        <w:t xml:space="preserve">Criterios de Aceptación</w:t>
      </w:r>
    </w:p>
    <w:p>
      <w:pPr>
        <w:numPr>
          <w:ilvl w:val="0"/>
          <w:numId w:val="1009"/>
        </w:numPr>
        <w:pStyle w:val="Compact"/>
      </w:pPr>
      <w:r>
        <w:t xml:space="preserve">Entendimiento de los métodos, tanto de creación de transiciones, como de hoja de rutas para su aplicación en el FNA</w:t>
      </w:r>
    </w:p>
    <w:p>
      <w:pPr>
        <w:numPr>
          <w:ilvl w:val="0"/>
          <w:numId w:val="1009"/>
        </w:numPr>
        <w:pStyle w:val="Compact"/>
      </w:pPr>
      <w:r>
        <w:t xml:space="preserve">Entendimiento del relacionamiento de las capacidades del FNA y los índices de madurez SOA con las arquitecturas de transición</w:t>
      </w:r>
    </w:p>
    <w:p>
      <w:pPr>
        <w:numPr>
          <w:ilvl w:val="0"/>
          <w:numId w:val="1009"/>
        </w:numPr>
        <w:pStyle w:val="Compact"/>
      </w:pPr>
      <w:r>
        <w:t xml:space="preserve">Entendimiento del método para gestionar las arquitecturas de transición del FNA</w:t>
      </w:r>
    </w:p>
    <w:p>
      <w:pPr>
        <w:numPr>
          <w:ilvl w:val="0"/>
          <w:numId w:val="1009"/>
        </w:numPr>
        <w:pStyle w:val="Compact"/>
      </w:pPr>
      <w:r>
        <w:t xml:space="preserve">Entendimiento del rol de la Oficina de Arquitectura en la gestión de las arquitecturas de transición del FNA</w:t>
      </w:r>
    </w:p>
    <w:p>
      <w:pPr>
        <w:pStyle w:val="FirstParagraph"/>
      </w:pPr>
    </w:p>
    <w:bookmarkEnd w:id="83"/>
    <w:bookmarkStart w:id="87" w:name="modelo-de-implementación-del-pry02-1"/>
    <w:p>
      <w:pPr>
        <w:pStyle w:val="Ttulo2"/>
      </w:pPr>
      <w:r>
        <w:t xml:space="preserve">Modelo de Implementación del PRY02</w:t>
      </w:r>
    </w:p>
    <w:bookmarkStart w:id="0" w:name="fig:4a24f585-00b1-4a2d-8879-02794c0a0a60"/>
    <w:p>
      <w:pPr>
        <w:pStyle w:val="CaptionedFigure"/>
      </w:pPr>
      <w:bookmarkStart w:id="86" w:name="fig:"/>
      <w:r>
        <w:drawing>
          <wp:inline>
            <wp:extent cx="5600700" cy="4264411"/>
            <wp:effectExtent b="0" l="0" r="0" t="0"/>
            <wp:docPr descr="Imagen 7: Plan de Implementación del Proyecto Arquitectura de Referencia SOA 2.0 del FNA (PRY02), 2023. Junio 2023 a julio 2023" title="" id="84" name="Picture"/>
            <a:graphic>
              <a:graphicData uri="http://schemas.openxmlformats.org/drawingml/2006/picture">
                <pic:pic>
                  <pic:nvPicPr>
                    <pic:cNvPr descr="images/pry2.png" id="85"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86"/>
    </w:p>
    <w:p>
      <w:pPr>
        <w:pStyle w:val="ImageCaption"/>
      </w:pPr>
      <w:r>
        <w:t xml:space="preserve">Imagen 7: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1.a5b1837</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87"/>
    <w:bookmarkEnd w:id="88"/>
    <w:bookmarkStart w:id="108"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10"/>
        </w:numPr>
        <w:pStyle w:val="Compact"/>
      </w:pPr>
      <w:r>
        <w:t xml:space="preserve">Intradepartamental y Servicios, Aplicaciones</w:t>
      </w:r>
    </w:p>
    <w:p>
      <w:pPr>
        <w:numPr>
          <w:ilvl w:val="0"/>
          <w:numId w:val="1010"/>
        </w:numPr>
        <w:pStyle w:val="Compact"/>
      </w:pPr>
      <w:r>
        <w:t xml:space="preserve">Unidades de Negocio y Productos de Negocio</w:t>
      </w:r>
    </w:p>
    <w:p>
      <w:pPr>
        <w:numPr>
          <w:ilvl w:val="0"/>
          <w:numId w:val="1010"/>
        </w:numPr>
        <w:pStyle w:val="Compact"/>
      </w:pPr>
      <w:r>
        <w:t xml:space="preserve">Entre Unidades de Negocio y Productos de Negocio</w:t>
      </w:r>
    </w:p>
    <w:p>
      <w:pPr>
        <w:numPr>
          <w:ilvl w:val="0"/>
          <w:numId w:val="1010"/>
        </w:numPr>
        <w:pStyle w:val="Compact"/>
      </w:pPr>
      <w:r>
        <w:t xml:space="preserve">Empresarial y Proveedores de Servicios SOA</w:t>
      </w:r>
    </w:p>
    <w:p>
      <w:pPr>
        <w:pStyle w:val="FirstParagraph"/>
      </w:pPr>
    </w:p>
    <w:bookmarkStart w:id="0" w:name="fig:adopcion1a.png"/>
    <w:p>
      <w:pPr>
        <w:pStyle w:val="CaptionedFigure"/>
      </w:pPr>
      <w:bookmarkStart w:id="92" w:name="fig:adopcion1a.png"/>
      <w:r>
        <w:drawing>
          <wp:inline>
            <wp:extent cx="5600700" cy="3039404"/>
            <wp:effectExtent b="0" l="0" r="0" t="0"/>
            <wp:docPr descr="Imagen 8: Estadios de adopción SOA en el FNA propuestos por E-Services." title="" id="90" name="Picture"/>
            <a:graphic>
              <a:graphicData uri="http://schemas.openxmlformats.org/drawingml/2006/picture">
                <pic:pic>
                  <pic:nvPicPr>
                    <pic:cNvPr descr="images/adopcion1a.png" id="91" name="Picture"/>
                    <pic:cNvPicPr>
                      <a:picLocks noChangeArrowheads="1" noChangeAspect="1"/>
                    </pic:cNvPicPr>
                  </pic:nvPicPr>
                  <pic:blipFill>
                    <a:blip r:embed="rId89"/>
                    <a:stretch>
                      <a:fillRect/>
                    </a:stretch>
                  </pic:blipFill>
                  <pic:spPr bwMode="auto">
                    <a:xfrm>
                      <a:off x="0" y="0"/>
                      <a:ext cx="5600700" cy="3039404"/>
                    </a:xfrm>
                    <a:prstGeom prst="rect">
                      <a:avLst/>
                    </a:prstGeom>
                    <a:noFill/>
                    <a:ln w="9525">
                      <a:noFill/>
                      <a:headEnd/>
                      <a:tailEnd/>
                    </a:ln>
                  </pic:spPr>
                </pic:pic>
              </a:graphicData>
            </a:graphic>
          </wp:inline>
        </w:drawing>
      </w:r>
      <w:bookmarkEnd w:id="92"/>
    </w:p>
    <w:p>
      <w:pPr>
        <w:pStyle w:val="ImageCaption"/>
      </w:pPr>
      <w:r>
        <w:t xml:space="preserve">Imagen 8: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97" w:name="capacidades-de-la-empresa-fna-1"/>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11"/>
        </w:numPr>
        <w:pStyle w:val="Compact"/>
      </w:pPr>
      <w:r>
        <w:t xml:space="preserve">Desarrollo de nuevos negocios</w:t>
      </w:r>
    </w:p>
    <w:p>
      <w:pPr>
        <w:numPr>
          <w:ilvl w:val="0"/>
          <w:numId w:val="1011"/>
        </w:numPr>
        <w:pStyle w:val="Compact"/>
      </w:pPr>
      <w:r>
        <w:t xml:space="preserve">Gestión de Cliente</w:t>
      </w:r>
    </w:p>
    <w:p>
      <w:pPr>
        <w:numPr>
          <w:ilvl w:val="0"/>
          <w:numId w:val="1011"/>
        </w:numPr>
        <w:pStyle w:val="Compact"/>
      </w:pPr>
      <w:r>
        <w:t xml:space="preserve">Administración de Recursos y Negocio</w:t>
      </w:r>
    </w:p>
    <w:p>
      <w:pPr>
        <w:numPr>
          <w:ilvl w:val="0"/>
          <w:numId w:val="1011"/>
        </w:numPr>
        <w:pStyle w:val="Compact"/>
      </w:pPr>
      <w:r>
        <w:t xml:space="preserve">Entrega de Productos</w:t>
      </w:r>
    </w:p>
    <w:p>
      <w:pPr>
        <w:numPr>
          <w:ilvl w:val="0"/>
          <w:numId w:val="1011"/>
        </w:numPr>
        <w:pStyle w:val="Compact"/>
      </w:pPr>
      <w:r>
        <w:t xml:space="preserve">Servicios de Cuentas</w:t>
      </w:r>
    </w:p>
    <w:p>
      <w:pPr>
        <w:numPr>
          <w:ilvl w:val="0"/>
          <w:numId w:val="1011"/>
        </w:numPr>
        <w:pStyle w:val="Compact"/>
      </w:pPr>
      <w:r>
        <w:t xml:space="preserve">Gestión Financiera</w:t>
      </w:r>
    </w:p>
    <w:p>
      <w:pPr>
        <w:numPr>
          <w:ilvl w:val="0"/>
          <w:numId w:val="1011"/>
        </w:numPr>
        <w:pStyle w:val="Compact"/>
      </w:pPr>
      <w:r>
        <w:t xml:space="preserve">Gestión de productos y funcionalidades (ERP)</w:t>
      </w:r>
    </w:p>
    <w:p>
      <w:pPr>
        <w:numPr>
          <w:ilvl w:val="0"/>
          <w:numId w:val="1011"/>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96" w:name="fig:capacidades-neg.png"/>
      <w:r>
        <w:drawing>
          <wp:inline>
            <wp:extent cx="5600700" cy="1473868"/>
            <wp:effectExtent b="0" l="0" r="0" t="0"/>
            <wp:docPr descr="Imagen 9: Capacidades encontradas en el repositorio de arquitectura del FNA, línea base." title="" id="94" name="Picture"/>
            <a:graphic>
              <a:graphicData uri="http://schemas.openxmlformats.org/drawingml/2006/picture">
                <pic:pic>
                  <pic:nvPicPr>
                    <pic:cNvPr descr="images/capacidades-neg.png" id="95" name="Picture"/>
                    <pic:cNvPicPr>
                      <a:picLocks noChangeArrowheads="1" noChangeAspect="1"/>
                    </pic:cNvPicPr>
                  </pic:nvPicPr>
                  <pic:blipFill>
                    <a:blip r:embed="rId93"/>
                    <a:stretch>
                      <a:fillRect/>
                    </a:stretch>
                  </pic:blipFill>
                  <pic:spPr bwMode="auto">
                    <a:xfrm>
                      <a:off x="0" y="0"/>
                      <a:ext cx="5600700" cy="1473868"/>
                    </a:xfrm>
                    <a:prstGeom prst="rect">
                      <a:avLst/>
                    </a:prstGeom>
                    <a:noFill/>
                    <a:ln w="9525">
                      <a:noFill/>
                      <a:headEnd/>
                      <a:tailEnd/>
                    </a:ln>
                  </pic:spPr>
                </pic:pic>
              </a:graphicData>
            </a:graphic>
          </wp:inline>
        </w:drawing>
      </w:r>
      <w:bookmarkEnd w:id="96"/>
    </w:p>
    <w:p>
      <w:pPr>
        <w:pStyle w:val="ImageCaption"/>
      </w:pPr>
      <w:r>
        <w:t xml:space="preserve">Imagen 9: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97"/>
    <w:bookmarkStart w:id="102"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hQTPO0iI">
        <w:r>
          <w:rPr>
            <w:rStyle w:val="Hipervnculo"/>
          </w:rPr>
          <w:t xml:space="preserve">1</w:t>
        </w:r>
      </w:hyperlink>
      <w:r>
        <w:t xml:space="preserve">]</w:t>
      </w:r>
      <w:r>
        <w:t xml:space="preserve">, presentamos estas capacidades que son equiparables con la arquitectura SOA del Fondo Nacional.</w:t>
      </w:r>
    </w:p>
    <w:p>
      <w:pPr>
        <w:numPr>
          <w:ilvl w:val="0"/>
          <w:numId w:val="1012"/>
        </w:numPr>
        <w:pStyle w:val="Compact"/>
      </w:pPr>
      <w:r>
        <w:t xml:space="preserve">CAP1. Realizar e implementar estrategias y entregables de la arquitectura de referencia SOA</w:t>
      </w:r>
    </w:p>
    <w:p>
      <w:pPr>
        <w:numPr>
          <w:ilvl w:val="0"/>
          <w:numId w:val="1012"/>
        </w:numPr>
        <w:pStyle w:val="Compact"/>
      </w:pPr>
      <w:r>
        <w:t xml:space="preserve">CAP2. Relacionar la arquitectura de referencia SOA y vincular distintas perspectivas del negocio</w:t>
      </w:r>
    </w:p>
    <w:p>
      <w:pPr>
        <w:numPr>
          <w:ilvl w:val="0"/>
          <w:numId w:val="1012"/>
        </w:numPr>
        <w:pStyle w:val="Compact"/>
      </w:pPr>
      <w:r>
        <w:t xml:space="preserve">CAP3. Ejecutar hojas de ruta de cierre de brechas de la arquitectura SOA del FNA</w:t>
      </w:r>
    </w:p>
    <w:p>
      <w:pPr>
        <w:numPr>
          <w:ilvl w:val="0"/>
          <w:numId w:val="1012"/>
        </w:numPr>
        <w:pStyle w:val="Compact"/>
      </w:pPr>
      <w:r>
        <w:t xml:space="preserve">CAP4. Trazabilidad de los activos y productos de TI con los productos y decisiones de negocio del FNA</w:t>
      </w:r>
    </w:p>
    <w:p>
      <w:pPr>
        <w:numPr>
          <w:ilvl w:val="0"/>
          <w:numId w:val="1012"/>
        </w:numPr>
        <w:pStyle w:val="Compact"/>
      </w:pPr>
      <w:r>
        <w:t xml:space="preserve">CAP5. Realizar análisis de impacto, riesgos, costo beneficio, y capacidad en uso</w:t>
      </w:r>
    </w:p>
    <w:p>
      <w:pPr>
        <w:numPr>
          <w:ilvl w:val="0"/>
          <w:numId w:val="1012"/>
        </w:numPr>
        <w:pStyle w:val="Compact"/>
      </w:pPr>
      <w:r>
        <w:t xml:space="preserve">CAP6. Emitir y gestionar documentación técnica estándares para proveedores, Comunicación y Planeación del FNA</w:t>
      </w:r>
    </w:p>
    <w:p>
      <w:pPr>
        <w:numPr>
          <w:ilvl w:val="0"/>
          <w:numId w:val="1012"/>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101" w:name="fig:capacidades-neg.png"/>
      <w:r>
        <w:drawing>
          <wp:inline>
            <wp:extent cx="5600700" cy="4485868"/>
            <wp:effectExtent b="0" l="0" r="0" t="0"/>
            <wp:docPr descr="Imagen 10: Capacidades de arquitectura del FNA provenientes de los procesos de arquitectura propuestos." title="" id="99" name="Picture"/>
            <a:graphic>
              <a:graphicData uri="http://schemas.openxmlformats.org/drawingml/2006/picture">
                <pic:pic>
                  <pic:nvPicPr>
                    <pic:cNvPr descr="images/capacidades-arq.png" id="100" name="Picture"/>
                    <pic:cNvPicPr>
                      <a:picLocks noChangeArrowheads="1" noChangeAspect="1"/>
                    </pic:cNvPicPr>
                  </pic:nvPicPr>
                  <pic:blipFill>
                    <a:blip r:embed="rId98"/>
                    <a:stretch>
                      <a:fillRect/>
                    </a:stretch>
                  </pic:blipFill>
                  <pic:spPr bwMode="auto">
                    <a:xfrm>
                      <a:off x="0" y="0"/>
                      <a:ext cx="5600700" cy="4485868"/>
                    </a:xfrm>
                    <a:prstGeom prst="rect">
                      <a:avLst/>
                    </a:prstGeom>
                    <a:noFill/>
                    <a:ln w="9525">
                      <a:noFill/>
                      <a:headEnd/>
                      <a:tailEnd/>
                    </a:ln>
                  </pic:spPr>
                </pic:pic>
              </a:graphicData>
            </a:graphic>
          </wp:inline>
        </w:drawing>
      </w:r>
      <w:bookmarkEnd w:id="101"/>
    </w:p>
    <w:p>
      <w:pPr>
        <w:pStyle w:val="ImageCaption"/>
      </w:pPr>
      <w:r>
        <w:t xml:space="preserve">Imagen 10: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bookmarkEnd w:id="102"/>
    <w:bookmarkStart w:id="107" w:name="Xb8ee99e5dcd3b1fcc29c7619b321426e13145d4"/>
    <w:p>
      <w:pPr>
        <w:pStyle w:val="Ttulo2"/>
      </w:pPr>
      <w:r>
        <w:t xml:space="preserve">Modelo de Adopción de Arquitectura del FNA</w:t>
      </w:r>
    </w:p>
    <w:p>
      <w:pPr>
        <w:pStyle w:val="FirstParagraph"/>
      </w:pPr>
      <w:r>
        <w:t xml:space="preserve">Al cruzar las capacidades con los estadios de adopción descritos arriba, obtenemos lo que llamamos el modelo de adopción gradual basado en capacidades de la arquitectura de referencia.</w:t>
      </w:r>
    </w:p>
    <w:bookmarkStart w:id="0" w:name="fig:adopcion1.png"/>
    <w:p>
      <w:pPr>
        <w:pStyle w:val="CaptionedFigure"/>
      </w:pPr>
      <w:bookmarkStart w:id="106" w:name="fig:adopcion1.png"/>
      <w:r>
        <w:drawing>
          <wp:inline>
            <wp:extent cx="5600700" cy="3039404"/>
            <wp:effectExtent b="0" l="0" r="0" t="0"/>
            <wp:docPr descr="Imagen 11: Relación de desarrollo de las capacidades y la adopción de las arquitecturas de referencia SOA en el FNA." title="" id="104" name="Picture"/>
            <a:graphic>
              <a:graphicData uri="http://schemas.openxmlformats.org/drawingml/2006/picture">
                <pic:pic>
                  <pic:nvPicPr>
                    <pic:cNvPr descr="images/adopcion1.png" id="105" name="Picture"/>
                    <pic:cNvPicPr>
                      <a:picLocks noChangeArrowheads="1" noChangeAspect="1"/>
                    </pic:cNvPicPr>
                  </pic:nvPicPr>
                  <pic:blipFill>
                    <a:blip r:embed="rId103"/>
                    <a:stretch>
                      <a:fillRect/>
                    </a:stretch>
                  </pic:blipFill>
                  <pic:spPr bwMode="auto">
                    <a:xfrm>
                      <a:off x="0" y="0"/>
                      <a:ext cx="5600700" cy="3039404"/>
                    </a:xfrm>
                    <a:prstGeom prst="rect">
                      <a:avLst/>
                    </a:prstGeom>
                    <a:noFill/>
                    <a:ln w="9525">
                      <a:noFill/>
                      <a:headEnd/>
                      <a:tailEnd/>
                    </a:ln>
                  </pic:spPr>
                </pic:pic>
              </a:graphicData>
            </a:graphic>
          </wp:inline>
        </w:drawing>
      </w:r>
      <w:bookmarkEnd w:id="106"/>
    </w:p>
    <w:p>
      <w:pPr>
        <w:pStyle w:val="ImageCaption"/>
      </w:pPr>
      <w:r>
        <w:t xml:space="preserve">Imagen 11: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El modelo propone que el grado de desarrollo de las capacidades determina a su vez el grado de adopción de una arquitectura. En el sentido inverso, el modelo informa sobre las capacidades que necesitan ser desarrolladas para aumentar los niveles de adopción de las arquitecturas en el FNA.</w:t>
      </w:r>
    </w:p>
    <w:p>
      <w:r>
        <w:br w:type="page"/>
      </w:r>
    </w:p>
    <w:bookmarkEnd w:id="107"/>
    <w:bookmarkEnd w:id="108"/>
    <w:bookmarkStart w:id="120" w:name="referencias"/>
    <w:p>
      <w:pPr>
        <w:pStyle w:val="Ttulo1"/>
      </w:pPr>
      <w:r>
        <w:t xml:space="preserve">Referencias</w:t>
      </w:r>
    </w:p>
    <w:bookmarkStart w:id="119" w:name="refs"/>
    <w:p>
      <w:pPr>
        <w:pStyle w:val="Bibliography"/>
      </w:pPr>
      <w:r>
        <w:t xml:space="preserve">[</w:t>
      </w:r>
      <w:hyperlink w:anchor="ref-19ZPD5YjC">
        <w:r>
          <w:rPr>
            <w:rStyle w:val="Hipervnculo"/>
          </w:rPr>
          <w:t xml:space="preserve">2</w:t>
        </w:r>
      </w:hyperlink>
      <w:r>
        <w:t xml:space="preserve">]</w:t>
      </w:r>
      <w:r>
        <w:t xml:space="preserve"> </w:t>
      </w:r>
      <w:r>
        <w:t xml:space="preserve">[</w:t>
      </w:r>
      <w:hyperlink w:anchor="ref-hQTPO0iI">
        <w:r>
          <w:rPr>
            <w:rStyle w:val="Hipervnculo"/>
          </w:rPr>
          <w:t xml:space="preserve">1</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110" w:name="ref-hQTPO0iI"/>
    <w:p>
      <w:pPr>
        <w:pStyle w:val="Bibliography"/>
      </w:pPr>
      <w:r>
        <w:t xml:space="preserve">1.</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0"/>
    <w:bookmarkStart w:id="111" w:name="ref-19ZPD5YjC"/>
    <w:p>
      <w:pPr>
        <w:pStyle w:val="Bibliography"/>
      </w:pPr>
      <w:r>
        <w:t xml:space="preserve">2.</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1"/>
    <w:bookmarkStart w:id="11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2"/>
    <w:bookmarkStart w:id="11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113">
        <w:r>
          <w:rPr>
            <w:rStyle w:val="Hipervnculo"/>
          </w:rPr>
          <w:t xml:space="preserve">https://pubs.opengroup.org/architecture/togaf9-doc/arch/chap27.html</w:t>
        </w:r>
      </w:hyperlink>
    </w:p>
    <w:bookmarkEnd w:id="114"/>
    <w:bookmarkStart w:id="11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113">
        <w:r>
          <w:rPr>
            <w:rStyle w:val="Hipervnculo"/>
          </w:rPr>
          <w:t xml:space="preserve">https://pubs.opengroup.org/architecture/togaf9-doc/arch/chap27.html</w:t>
        </w:r>
      </w:hyperlink>
    </w:p>
    <w:bookmarkEnd w:id="115"/>
    <w:bookmarkStart w:id="11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116">
        <w:r>
          <w:rPr>
            <w:rStyle w:val="Hipervnculo"/>
          </w:rPr>
          <w:t xml:space="preserve">https://hwong23.github.io/fna-dd-f2-e1/</w:t>
        </w:r>
      </w:hyperlink>
    </w:p>
    <w:bookmarkEnd w:id="117"/>
    <w:bookmarkStart w:id="11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116">
        <w:r>
          <w:rPr>
            <w:rStyle w:val="Hipervnculo"/>
          </w:rPr>
          <w:t xml:space="preserve">https://hwong23.github.io/fna-dd-f2-e1/</w:t>
        </w:r>
      </w:hyperlink>
    </w:p>
    <w:bookmarkEnd w:id="118"/>
    <w:bookmarkEnd w:id="119"/>
    <w:bookmarkEnd w:id="1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103" Target="media/rId103.png"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a5b1837f4aec70d59daecc3d549bf02748e6c43c/"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a5b1837f4aec70d59daecc3d549bf02748e6c43c/"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2023-08-10T14:55:54Z</dcterms:created>
  <dcterms:modified xsi:type="dcterms:W3CDTF">2023-08-10T14:55:54Z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Administración de las transiciones hacia la arquitectura versión 2.0</vt:lpwstr>
  </property>
  <property fmtid="{D5CDD505-2E9C-101B-9397-08002B2CF9AE}" pid="19" name="references">
    <vt:lpwstr/>
  </property>
  <property fmtid="{D5CDD505-2E9C-101B-9397-08002B2CF9AE}" pid="20" name="tablenos-caption-name">
    <vt:lpwstr>Tabla</vt:lpwstr>
  </property>
</Properties>
</file>