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103.png" ContentType="image/png"/>
  <Override PartName="/word/media/rId89.png" ContentType="image/png"/>
  <Override PartName="/word/media/rId98.png" ContentType="image/png"/>
  <Override PartName="/word/media/rId93.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STEF@e2a05cb</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1.e2a05cb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1.e2a05cb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1.e2a05cb</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5e40e694-3616-4098-9206-f87838dff59e"/>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56e1d112-477f-448e-bf9b-20f9274790fa"/>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1.e2a05cb</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b529550-52b0-46c2-b6e6-4976c91ad572"/>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6214bf86-17ed-4315-8246-306ee0caf5b7"/>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7e26d351-180a-4fe9-b9af-5b568b1c3c21"/>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1.e2a05cb</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1.e2a05cb</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13ffdc9a-e462-4ee4-9e0e-09e0765a193b"/>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1.e2a05cb</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87"/>
    <w:bookmarkEnd w:id="88"/>
    <w:bookmarkStart w:id="108"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10"/>
        </w:numPr>
        <w:pStyle w:val="Compact"/>
      </w:pPr>
      <w:r>
        <w:t xml:space="preserve">Intradepartamental y Servicios, Aplicaciones</w:t>
      </w:r>
    </w:p>
    <w:p>
      <w:pPr>
        <w:numPr>
          <w:ilvl w:val="0"/>
          <w:numId w:val="1010"/>
        </w:numPr>
        <w:pStyle w:val="Compact"/>
      </w:pPr>
      <w:r>
        <w:t xml:space="preserve">Unidades de Negocio y Productos de Negocio</w:t>
      </w:r>
    </w:p>
    <w:p>
      <w:pPr>
        <w:numPr>
          <w:ilvl w:val="0"/>
          <w:numId w:val="1010"/>
        </w:numPr>
        <w:pStyle w:val="Compact"/>
      </w:pPr>
      <w:r>
        <w:t xml:space="preserve">Entre Unidades de Negocio y Productos de Negocio</w:t>
      </w:r>
    </w:p>
    <w:p>
      <w:pPr>
        <w:numPr>
          <w:ilvl w:val="0"/>
          <w:numId w:val="1010"/>
        </w:numPr>
        <w:pStyle w:val="Compact"/>
      </w:pPr>
      <w:r>
        <w:t xml:space="preserve">Empresarial y Proveedores de Servicios SOA</w:t>
      </w:r>
    </w:p>
    <w:p>
      <w:pPr>
        <w:pStyle w:val="FirstParagraph"/>
      </w:pPr>
    </w:p>
    <w:bookmarkStart w:id="0" w:name="fig:adopcion1a.png"/>
    <w:p>
      <w:pPr>
        <w:pStyle w:val="CaptionedFigure"/>
      </w:pPr>
      <w:bookmarkStart w:id="92" w:name="fig:adopcion1a.png"/>
      <w:r>
        <w:drawing>
          <wp:inline>
            <wp:extent cx="5600700" cy="3039404"/>
            <wp:effectExtent b="0" l="0" r="0" t="0"/>
            <wp:docPr descr="Imagen 8: Estadios de adopción SOA en el FNA propuestos por E-Services." title="" id="90" name="Picture"/>
            <a:graphic>
              <a:graphicData uri="http://schemas.openxmlformats.org/drawingml/2006/picture">
                <pic:pic>
                  <pic:nvPicPr>
                    <pic:cNvPr descr="images/adopcion1a.png" id="91" name="Picture"/>
                    <pic:cNvPicPr>
                      <a:picLocks noChangeArrowheads="1" noChangeAspect="1"/>
                    </pic:cNvPicPr>
                  </pic:nvPicPr>
                  <pic:blipFill>
                    <a:blip r:embed="rId89"/>
                    <a:stretch>
                      <a:fillRect/>
                    </a:stretch>
                  </pic:blipFill>
                  <pic:spPr bwMode="auto">
                    <a:xfrm>
                      <a:off x="0" y="0"/>
                      <a:ext cx="5600700" cy="3039404"/>
                    </a:xfrm>
                    <a:prstGeom prst="rect">
                      <a:avLst/>
                    </a:prstGeom>
                    <a:noFill/>
                    <a:ln w="9525">
                      <a:noFill/>
                      <a:headEnd/>
                      <a:tailEnd/>
                    </a:ln>
                  </pic:spPr>
                </pic:pic>
              </a:graphicData>
            </a:graphic>
          </wp:inline>
        </w:drawing>
      </w:r>
      <w:bookmarkEnd w:id="92"/>
    </w:p>
    <w:p>
      <w:pPr>
        <w:pStyle w:val="ImageCaption"/>
      </w:pPr>
      <w:r>
        <w:t xml:space="preserve">Imagen 8: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97" w:name="capacidades-de-la-empresa-fna-1"/>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11"/>
        </w:numPr>
        <w:pStyle w:val="Compact"/>
      </w:pPr>
      <w:r>
        <w:t xml:space="preserve">Desarrollo de nuevos negocios</w:t>
      </w:r>
    </w:p>
    <w:p>
      <w:pPr>
        <w:numPr>
          <w:ilvl w:val="0"/>
          <w:numId w:val="1011"/>
        </w:numPr>
        <w:pStyle w:val="Compact"/>
      </w:pPr>
      <w:r>
        <w:t xml:space="preserve">Gestión de Cliente</w:t>
      </w:r>
    </w:p>
    <w:p>
      <w:pPr>
        <w:numPr>
          <w:ilvl w:val="0"/>
          <w:numId w:val="1011"/>
        </w:numPr>
        <w:pStyle w:val="Compact"/>
      </w:pPr>
      <w:r>
        <w:t xml:space="preserve">Administración de Recursos y Negocio</w:t>
      </w:r>
    </w:p>
    <w:p>
      <w:pPr>
        <w:numPr>
          <w:ilvl w:val="0"/>
          <w:numId w:val="1011"/>
        </w:numPr>
        <w:pStyle w:val="Compact"/>
      </w:pPr>
      <w:r>
        <w:t xml:space="preserve">Entrega de Productos</w:t>
      </w:r>
    </w:p>
    <w:p>
      <w:pPr>
        <w:numPr>
          <w:ilvl w:val="0"/>
          <w:numId w:val="1011"/>
        </w:numPr>
        <w:pStyle w:val="Compact"/>
      </w:pPr>
      <w:r>
        <w:t xml:space="preserve">Servicios de Cuentas</w:t>
      </w:r>
    </w:p>
    <w:p>
      <w:pPr>
        <w:numPr>
          <w:ilvl w:val="0"/>
          <w:numId w:val="1011"/>
        </w:numPr>
        <w:pStyle w:val="Compact"/>
      </w:pPr>
      <w:r>
        <w:t xml:space="preserve">Gestión Financiera</w:t>
      </w:r>
    </w:p>
    <w:p>
      <w:pPr>
        <w:numPr>
          <w:ilvl w:val="0"/>
          <w:numId w:val="1011"/>
        </w:numPr>
        <w:pStyle w:val="Compact"/>
      </w:pPr>
      <w:r>
        <w:t xml:space="preserve">Gestión de productos y funcionalidades (ERP)</w:t>
      </w:r>
    </w:p>
    <w:p>
      <w:pPr>
        <w:numPr>
          <w:ilvl w:val="0"/>
          <w:numId w:val="1011"/>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96" w:name="fig:capacidades-neg.png"/>
      <w:r>
        <w:drawing>
          <wp:inline>
            <wp:extent cx="5600700" cy="1473868"/>
            <wp:effectExtent b="0" l="0" r="0" t="0"/>
            <wp:docPr descr="Imagen 9: Capacidades encontradas en el repositorio de arquitectura del FNA, línea base." title="" id="94" name="Picture"/>
            <a:graphic>
              <a:graphicData uri="http://schemas.openxmlformats.org/drawingml/2006/picture">
                <pic:pic>
                  <pic:nvPicPr>
                    <pic:cNvPr descr="images/capacidades-neg.png" id="95" name="Picture"/>
                    <pic:cNvPicPr>
                      <a:picLocks noChangeArrowheads="1" noChangeAspect="1"/>
                    </pic:cNvPicPr>
                  </pic:nvPicPr>
                  <pic:blipFill>
                    <a:blip r:embed="rId93"/>
                    <a:stretch>
                      <a:fillRect/>
                    </a:stretch>
                  </pic:blipFill>
                  <pic:spPr bwMode="auto">
                    <a:xfrm>
                      <a:off x="0" y="0"/>
                      <a:ext cx="5600700" cy="1473868"/>
                    </a:xfrm>
                    <a:prstGeom prst="rect">
                      <a:avLst/>
                    </a:prstGeom>
                    <a:noFill/>
                    <a:ln w="9525">
                      <a:noFill/>
                      <a:headEnd/>
                      <a:tailEnd/>
                    </a:ln>
                  </pic:spPr>
                </pic:pic>
              </a:graphicData>
            </a:graphic>
          </wp:inline>
        </w:drawing>
      </w:r>
      <w:bookmarkEnd w:id="96"/>
    </w:p>
    <w:p>
      <w:pPr>
        <w:pStyle w:val="ImageCaption"/>
      </w:pPr>
      <w:r>
        <w:t xml:space="preserve">Imagen 9: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97"/>
    <w:bookmarkStart w:id="102"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hQTPO0iI">
        <w:r>
          <w:rPr>
            <w:rStyle w:val="Hipervnculo"/>
          </w:rPr>
          <w:t xml:space="preserve">1</w:t>
        </w:r>
      </w:hyperlink>
      <w:r>
        <w:t xml:space="preserve">]</w:t>
      </w:r>
      <w:r>
        <w:t xml:space="preserve">, presentamos estas capacidades que son equiparables con la arquitectura SOA del Fondo Nacional.</w:t>
      </w:r>
    </w:p>
    <w:p>
      <w:pPr>
        <w:numPr>
          <w:ilvl w:val="0"/>
          <w:numId w:val="1012"/>
        </w:numPr>
        <w:pStyle w:val="Compact"/>
      </w:pPr>
      <w:r>
        <w:t xml:space="preserve">CAP1. Realizar e implementar estrategias y entregables de la arquitectura de referencia SOA</w:t>
      </w:r>
    </w:p>
    <w:p>
      <w:pPr>
        <w:numPr>
          <w:ilvl w:val="0"/>
          <w:numId w:val="1012"/>
        </w:numPr>
        <w:pStyle w:val="Compact"/>
      </w:pPr>
      <w:r>
        <w:t xml:space="preserve">CAP2. Relacionar la arquitectura de referencia SOA y vincular distintas perspectivas del negocio</w:t>
      </w:r>
    </w:p>
    <w:p>
      <w:pPr>
        <w:numPr>
          <w:ilvl w:val="0"/>
          <w:numId w:val="1012"/>
        </w:numPr>
        <w:pStyle w:val="Compact"/>
      </w:pPr>
      <w:r>
        <w:t xml:space="preserve">CAP3. Ejecutar hojas de ruta de cierre de brechas de la arquitectura SOA del FNA</w:t>
      </w:r>
    </w:p>
    <w:p>
      <w:pPr>
        <w:numPr>
          <w:ilvl w:val="0"/>
          <w:numId w:val="1012"/>
        </w:numPr>
        <w:pStyle w:val="Compact"/>
      </w:pPr>
      <w:r>
        <w:t xml:space="preserve">CAP4. Trazabilidad de los activos y productos de TI con los productos y decisiones de negocio del FNA</w:t>
      </w:r>
    </w:p>
    <w:p>
      <w:pPr>
        <w:numPr>
          <w:ilvl w:val="0"/>
          <w:numId w:val="1012"/>
        </w:numPr>
        <w:pStyle w:val="Compact"/>
      </w:pPr>
      <w:r>
        <w:t xml:space="preserve">CAP5. Realizar análisis de impacto, riesgos, costo beneficio, y capacidad en uso</w:t>
      </w:r>
    </w:p>
    <w:p>
      <w:pPr>
        <w:numPr>
          <w:ilvl w:val="0"/>
          <w:numId w:val="1012"/>
        </w:numPr>
        <w:pStyle w:val="Compact"/>
      </w:pPr>
      <w:r>
        <w:t xml:space="preserve">CAP6. Emitir y gestionar documentación técnica estándares para proveedores, Comunicación y Planeación del FNA</w:t>
      </w:r>
    </w:p>
    <w:p>
      <w:pPr>
        <w:numPr>
          <w:ilvl w:val="0"/>
          <w:numId w:val="1012"/>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101" w:name="fig:capacidades-neg.png"/>
      <w:r>
        <w:drawing>
          <wp:inline>
            <wp:extent cx="5600700" cy="4485868"/>
            <wp:effectExtent b="0" l="0" r="0" t="0"/>
            <wp:docPr descr="Imagen 10: Capacidades de arquitectura del FNA provenientes de los procesos de arquitectura propuestos." title="" id="99" name="Picture"/>
            <a:graphic>
              <a:graphicData uri="http://schemas.openxmlformats.org/drawingml/2006/picture">
                <pic:pic>
                  <pic:nvPicPr>
                    <pic:cNvPr descr="images/capacidades-arq.png" id="100" name="Picture"/>
                    <pic:cNvPicPr>
                      <a:picLocks noChangeArrowheads="1" noChangeAspect="1"/>
                    </pic:cNvPicPr>
                  </pic:nvPicPr>
                  <pic:blipFill>
                    <a:blip r:embed="rId98"/>
                    <a:stretch>
                      <a:fillRect/>
                    </a:stretch>
                  </pic:blipFill>
                  <pic:spPr bwMode="auto">
                    <a:xfrm>
                      <a:off x="0" y="0"/>
                      <a:ext cx="5600700" cy="4485868"/>
                    </a:xfrm>
                    <a:prstGeom prst="rect">
                      <a:avLst/>
                    </a:prstGeom>
                    <a:noFill/>
                    <a:ln w="9525">
                      <a:noFill/>
                      <a:headEnd/>
                      <a:tailEnd/>
                    </a:ln>
                  </pic:spPr>
                </pic:pic>
              </a:graphicData>
            </a:graphic>
          </wp:inline>
        </w:drawing>
      </w:r>
      <w:bookmarkEnd w:id="101"/>
    </w:p>
    <w:p>
      <w:pPr>
        <w:pStyle w:val="ImageCaption"/>
      </w:pPr>
      <w:r>
        <w:t xml:space="preserve">Imagen 10: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bookmarkEnd w:id="102"/>
    <w:bookmarkStart w:id="107"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106" w:name="fig:adopcion1.png"/>
      <w:r>
        <w:drawing>
          <wp:inline>
            <wp:extent cx="5600700" cy="3039404"/>
            <wp:effectExtent b="0" l="0" r="0" t="0"/>
            <wp:docPr descr="Imagen 11: Relación de desarrollo de las capacidades y la adopción de las arquitecturas de referencia SOA en el FNA." title="" id="104" name="Picture"/>
            <a:graphic>
              <a:graphicData uri="http://schemas.openxmlformats.org/drawingml/2006/picture">
                <pic:pic>
                  <pic:nvPicPr>
                    <pic:cNvPr descr="images/adopcion1.png" id="105" name="Picture"/>
                    <pic:cNvPicPr>
                      <a:picLocks noChangeArrowheads="1" noChangeAspect="1"/>
                    </pic:cNvPicPr>
                  </pic:nvPicPr>
                  <pic:blipFill>
                    <a:blip r:embed="rId103"/>
                    <a:stretch>
                      <a:fillRect/>
                    </a:stretch>
                  </pic:blipFill>
                  <pic:spPr bwMode="auto">
                    <a:xfrm>
                      <a:off x="0" y="0"/>
                      <a:ext cx="5600700" cy="3039404"/>
                    </a:xfrm>
                    <a:prstGeom prst="rect">
                      <a:avLst/>
                    </a:prstGeom>
                    <a:noFill/>
                    <a:ln w="9525">
                      <a:noFill/>
                      <a:headEnd/>
                      <a:tailEnd/>
                    </a:ln>
                  </pic:spPr>
                </pic:pic>
              </a:graphicData>
            </a:graphic>
          </wp:inline>
        </w:drawing>
      </w:r>
      <w:bookmarkEnd w:id="106"/>
    </w:p>
    <w:p>
      <w:pPr>
        <w:pStyle w:val="ImageCaption"/>
      </w:pPr>
      <w:r>
        <w:t xml:space="preserve">Imagen 11: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t xml:space="preserve">El desarrollo de las capacidades de arquitectura es uno de los objetivos primos del Gobierno SOA planteado por este ejercicio (ver proyecto 1, Gobierno SOA del FNA).</w:t>
      </w:r>
    </w:p>
    <w:p>
      <w:r>
        <w:br w:type="page"/>
      </w:r>
    </w:p>
    <w:bookmarkEnd w:id="107"/>
    <w:bookmarkEnd w:id="108"/>
    <w:bookmarkStart w:id="120" w:name="referencias"/>
    <w:p>
      <w:pPr>
        <w:pStyle w:val="Ttulo1"/>
      </w:pPr>
      <w:r>
        <w:t xml:space="preserve">Referencias</w:t>
      </w:r>
    </w:p>
    <w:bookmarkStart w:id="119" w:name="refs"/>
    <w:p>
      <w:pPr>
        <w:pStyle w:val="Bibliography"/>
      </w:pPr>
      <w:r>
        <w:t xml:space="preserve">[</w:t>
      </w:r>
      <w:hyperlink w:anchor="ref-19ZPD5YjC">
        <w:r>
          <w:rPr>
            <w:rStyle w:val="Hipervnculo"/>
          </w:rPr>
          <w:t xml:space="preserve">2</w:t>
        </w:r>
      </w:hyperlink>
      <w:r>
        <w:t xml:space="preserve">]</w:t>
      </w:r>
      <w:r>
        <w:t xml:space="preserve"> </w:t>
      </w:r>
      <w:r>
        <w:t xml:space="preserve">[</w:t>
      </w:r>
      <w:hyperlink w:anchor="ref-hQTPO0iI">
        <w:r>
          <w:rPr>
            <w:rStyle w:val="Hipervnculo"/>
          </w:rPr>
          <w:t xml:space="preserve">1</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110" w:name="ref-hQTPO0iI"/>
    <w:p>
      <w:pPr>
        <w:pStyle w:val="Bibliography"/>
      </w:pPr>
      <w:r>
        <w:t xml:space="preserve">1.</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0"/>
    <w:bookmarkStart w:id="111" w:name="ref-19ZPD5YjC"/>
    <w:p>
      <w:pPr>
        <w:pStyle w:val="Bibliography"/>
      </w:pPr>
      <w:r>
        <w:t xml:space="preserve">2.</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1"/>
    <w:bookmarkStart w:id="11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2"/>
    <w:bookmarkStart w:id="11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113">
        <w:r>
          <w:rPr>
            <w:rStyle w:val="Hipervnculo"/>
          </w:rPr>
          <w:t xml:space="preserve">https://pubs.opengroup.org/architecture/togaf9-doc/arch/chap27.html</w:t>
        </w:r>
      </w:hyperlink>
    </w:p>
    <w:bookmarkEnd w:id="114"/>
    <w:bookmarkStart w:id="11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113">
        <w:r>
          <w:rPr>
            <w:rStyle w:val="Hipervnculo"/>
          </w:rPr>
          <w:t xml:space="preserve">https://pubs.opengroup.org/architecture/togaf9-doc/arch/chap27.html</w:t>
        </w:r>
      </w:hyperlink>
    </w:p>
    <w:bookmarkEnd w:id="115"/>
    <w:bookmarkStart w:id="11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116">
        <w:r>
          <w:rPr>
            <w:rStyle w:val="Hipervnculo"/>
          </w:rPr>
          <w:t xml:space="preserve">https://hwong23.github.io/fna-dd-f2-e1/</w:t>
        </w:r>
      </w:hyperlink>
    </w:p>
    <w:bookmarkEnd w:id="117"/>
    <w:bookmarkStart w:id="11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116">
        <w:r>
          <w:rPr>
            <w:rStyle w:val="Hipervnculo"/>
          </w:rPr>
          <w:t xml:space="preserve">https://hwong23.github.io/fna-dd-f2-e1/</w:t>
        </w:r>
      </w:hyperlink>
    </w:p>
    <w:bookmarkEnd w:id="118"/>
    <w:bookmarkEnd w:id="119"/>
    <w:bookmarkEnd w:id="1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103" Target="media/rId103.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e2a05cbab421588b7037548a87ba05ed5613d736/"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e2a05cbab421588b7037548a87ba05ed5613d736/"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2023-08-10T16:08:42Z</dcterms:created>
  <dcterms:modified xsi:type="dcterms:W3CDTF">2023-08-10T16:08:42Z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Administración de las transiciones hacia la arquitectura versión 2.0</vt:lpwstr>
  </property>
  <property fmtid="{D5CDD505-2E9C-101B-9397-08002B2CF9AE}" pid="19" name="references">
    <vt:lpwstr/>
  </property>
  <property fmtid="{D5CDD505-2E9C-101B-9397-08002B2CF9AE}" pid="20" name="tablenos-caption-name">
    <vt:lpwstr>Tabla</vt:lpwstr>
  </property>
</Properties>
</file>