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4.png" ContentType="image/png"/>
  <Override PartName="/word/media/rId46.png" ContentType="image/png"/>
  <Override PartName="/word/media/rId103.png" ContentType="image/png"/>
  <Override PartName="/word/media/rId89.png" ContentType="image/png"/>
  <Override PartName="/word/media/rId98.png" ContentType="image/png"/>
  <Override PartName="/word/media/rId93.png" ContentType="image/png"/>
  <Override PartName="/word/media/rId62.png" ContentType="image/png"/>
  <Override PartName="/word/media/rId74.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STEF@fb6fcf2</w:t>
        </w:r>
      </w:hyperlink>
      <w:r>
        <w:t xml:space="preserve"> </w:t>
      </w:r>
      <w:r>
        <w:t xml:space="preserve">del August 10, 2023.</w:t>
      </w:r>
      <w:r>
        <w:t xml:space="preserve"> </w:t>
      </w:r>
    </w:p>
    <w:p>
      <w:pPr>
        <w:pStyle w:val="Textoindependiente"/>
      </w:pPr>
      <w:r>
        <w:t xml:space="preserve">   </w:t>
      </w:r>
      <w:r>
        <w:rPr>
          <w:bCs/>
          <w:b/>
        </w:rPr>
        <w:t xml:space="preserve">Versión</w:t>
      </w:r>
      <w:r>
        <w:t xml:space="preserve"> </w:t>
      </w:r>
      <w:r>
        <w:t xml:space="preserve">del producto 1.fb6fcf2 de 10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PR13. Modelado en lenguaje y herramienta de diseño del FNA​ y PR14. Administración de las transiciones hacia la arquitectura versión 2.0, del proyecto Arquitectura de Referencia SOA 2.0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1.fb6fcf2 del 10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1.fb6fcf2</w:t>
      </w:r>
    </w:p>
    <w:p>
      <w:pPr>
        <w:pStyle w:val="FirstParagraph"/>
      </w:pPr>
    </w:p>
    <w:bookmarkEnd w:id="31"/>
    <w:bookmarkStart w:id="44"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b98f6465-a220-4340-9735-a2bbd95e6401"/>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43" w:name="modelo-de-implementación-del-pry02"/>
    <w:p>
      <w:pPr>
        <w:pStyle w:val="Ttulo2"/>
      </w:pPr>
      <w:r>
        <w:t xml:space="preserve">Modelo de Implementación del PRY02</w:t>
      </w:r>
    </w:p>
    <w:bookmarkStart w:id="0" w:name="fig:d2e36c7b-4198-46f6-873b-2f01d0441b75"/>
    <w:p>
      <w:pPr>
        <w:pStyle w:val="CaptionedFigure"/>
      </w:pPr>
      <w:bookmarkStart w:id="40" w:name="fig:"/>
      <w:r>
        <w:drawing>
          <wp:inline>
            <wp:extent cx="5600700" cy="4264411"/>
            <wp:effectExtent b="0" l="0" r="0" t="0"/>
            <wp:docPr descr="Imagen 2: Plan de Implementación del Proyecto Arquitectura de Referencia SOA 2.0 del FNA (PRY02), 2023. Junio 2023 a julio 2023" title="" id="38" name="Picture"/>
            <a:graphic>
              <a:graphicData uri="http://schemas.openxmlformats.org/drawingml/2006/picture">
                <pic:pic>
                  <pic:nvPicPr>
                    <pic:cNvPr descr="images/pry2.png" id="39"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0"/>
    </w:p>
    <w:p>
      <w:pPr>
        <w:pStyle w:val="ImageCaption"/>
      </w:pPr>
      <w:r>
        <w:t xml:space="preserve">Imagen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1.fb6fcf2</w:t>
            </w:r>
            <w:r>
              <w:t xml:space="preserve"> </w:t>
            </w:r>
            <w:r>
              <w:t xml:space="preserve">del 10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43"/>
    <w:bookmarkEnd w:id="44"/>
    <w:bookmarkStart w:id="72" w:name="X78b97b14da365454992d1752d55f641c02e2a6d"/>
    <w:p>
      <w:pPr>
        <w:pStyle w:val="Ttulo1"/>
      </w:pPr>
      <w:r>
        <w:t xml:space="preserve">Análisis de Elementos Relevantes para la Arquitectura de Referencia SOA 2.0 del FNA</w:t>
      </w:r>
    </w:p>
    <w:bookmarkStart w:id="53" w:name="catálogo-de-servicios-fna-blueprint"/>
    <w:p>
      <w:pPr>
        <w:pStyle w:val="Ttulo2"/>
      </w:pPr>
      <w:r>
        <w:t xml:space="preserve">Catálogo de Servicios FNA (blueprint)</w:t>
      </w:r>
    </w:p>
    <w:bookmarkStart w:id="45"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4"/>
        </w:numPr>
        <w:pStyle w:val="Compact"/>
      </w:pPr>
      <w:r>
        <w:t xml:space="preserve">Desarrollo de nuevos negocios</w:t>
      </w:r>
    </w:p>
    <w:p>
      <w:pPr>
        <w:numPr>
          <w:ilvl w:val="0"/>
          <w:numId w:val="1004"/>
        </w:numPr>
        <w:pStyle w:val="Compact"/>
      </w:pPr>
      <w:r>
        <w:t xml:space="preserve">Gestión de Cliente</w:t>
      </w:r>
    </w:p>
    <w:p>
      <w:pPr>
        <w:numPr>
          <w:ilvl w:val="0"/>
          <w:numId w:val="1004"/>
        </w:numPr>
        <w:pStyle w:val="Compact"/>
      </w:pPr>
      <w:r>
        <w:t xml:space="preserve">Administración de Recursos y Negocio</w:t>
      </w:r>
    </w:p>
    <w:p>
      <w:pPr>
        <w:numPr>
          <w:ilvl w:val="0"/>
          <w:numId w:val="1004"/>
        </w:numPr>
        <w:pStyle w:val="Compact"/>
      </w:pPr>
      <w:r>
        <w:t xml:space="preserve">Entrega de Productos</w:t>
      </w:r>
    </w:p>
    <w:p>
      <w:pPr>
        <w:numPr>
          <w:ilvl w:val="0"/>
          <w:numId w:val="1004"/>
        </w:numPr>
        <w:pStyle w:val="Compact"/>
      </w:pPr>
      <w:r>
        <w:t xml:space="preserve">Servicios de Cuentas</w:t>
      </w:r>
    </w:p>
    <w:p>
      <w:pPr>
        <w:numPr>
          <w:ilvl w:val="0"/>
          <w:numId w:val="1004"/>
        </w:numPr>
        <w:pStyle w:val="Compact"/>
      </w:pPr>
      <w:r>
        <w:t xml:space="preserve">Gestión Financiera</w:t>
      </w:r>
    </w:p>
    <w:p>
      <w:pPr>
        <w:pStyle w:val="FirstParagraph"/>
      </w:pPr>
      <w:r>
        <w:rPr>
          <w:iCs/>
          <w:i/>
        </w:rPr>
        <w:t xml:space="preserve">Fuente: Portafolio de Aplicaciones FNA.</w:t>
      </w:r>
    </w:p>
    <w:p>
      <w:pPr>
        <w:pStyle w:val="Textoindependiente"/>
      </w:pPr>
    </w:p>
    <w:bookmarkEnd w:id="45"/>
    <w:bookmarkStart w:id="52"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1c2a4753-a2f2-4eba-b052-961d11216fac"/>
    <w:p>
      <w:pPr>
        <w:pStyle w:val="CaptionedFigure"/>
      </w:pPr>
      <w:bookmarkStart w:id="49" w:name="fig:"/>
      <w:r>
        <w:drawing>
          <wp:inline>
            <wp:extent cx="5600700" cy="6526387"/>
            <wp:effectExtent b="0" l="0" r="0" t="0"/>
            <wp:docPr descr="Imagen 3: Capacidades y Servicios SOA (y otras partes de la empresa)" title="" id="47" name="Picture"/>
            <a:graphic>
              <a:graphicData uri="http://schemas.openxmlformats.org/drawingml/2006/picture">
                <pic:pic>
                  <pic:nvPicPr>
                    <pic:cNvPr descr="images/FNA_Arquitectura-Vista%20CapacidadesFNA.png" id="48" name="Picture"/>
                    <pic:cNvPicPr>
                      <a:picLocks noChangeArrowheads="1" noChangeAspect="1"/>
                    </pic:cNvPicPr>
                  </pic:nvPicPr>
                  <pic:blipFill>
                    <a:blip r:embed="rId46"/>
                    <a:stretch>
                      <a:fillRect/>
                    </a:stretch>
                  </pic:blipFill>
                  <pic:spPr bwMode="auto">
                    <a:xfrm>
                      <a:off x="0" y="0"/>
                      <a:ext cx="5600700" cy="6526387"/>
                    </a:xfrm>
                    <a:prstGeom prst="rect">
                      <a:avLst/>
                    </a:prstGeom>
                    <a:noFill/>
                    <a:ln w="9525">
                      <a:noFill/>
                      <a:headEnd/>
                      <a:tailEnd/>
                    </a:ln>
                  </pic:spPr>
                </pic:pic>
              </a:graphicData>
            </a:graphic>
          </wp:inline>
        </w:drawing>
      </w:r>
      <w:bookmarkEnd w:id="49"/>
    </w:p>
    <w:p>
      <w:pPr>
        <w:pStyle w:val="ImageCaption"/>
      </w:pPr>
      <w:r>
        <w:t xml:space="preserve">Imagen 3: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50" w:name="tbl:capacidades-id"/>
    <w:p>
      <w:pPr>
        <w:pStyle w:val="TableCaption"/>
      </w:pPr>
      <w:r>
        <w:t xml:space="preserve">Tabla 1: Servicios SOA del FNA más relevantes según modelos FNA.</w:t>
      </w:r>
      <w:r>
        <w:t xml:space="preserve"> </w:t>
      </w:r>
    </w:p>
    <w:tbl>
      <w:tblPr>
        <w:tblStyle w:val="Table"/>
        <w:tblW w:type="pct" w:w="5000"/>
        <w:tblLook w:firstRow="1" w:lastRow="0" w:firstColumn="0" w:lastColumn="0" w:noHBand="0" w:noVBand="0" w:val="0020"/>
        <w:tblCaption w:val="Tabla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50"/>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51" w:name="tbl:capacidades2-id"/>
    <w:p>
      <w:pPr>
        <w:pStyle w:val="TableCaption"/>
      </w:pPr>
      <w:r>
        <w:t xml:space="preserve">Tabla 2: Las capacidades de mayor importancia para el FNA.</w:t>
      </w:r>
      <w:r>
        <w:t xml:space="preserve"> </w:t>
      </w:r>
    </w:p>
    <w:tbl>
      <w:tblPr>
        <w:tblStyle w:val="Table"/>
        <w:tblW w:type="auto" w:w="0"/>
        <w:tblLook w:firstRow="1" w:lastRow="0" w:firstColumn="0" w:lastColumn="0" w:noHBand="0" w:noVBand="0" w:val="0020"/>
        <w:tblCaption w:val="Tabla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51"/>
    <w:bookmarkEnd w:id="0"/>
    <w:p>
      <w:pPr>
        <w:pStyle w:val="Textoindependiente"/>
      </w:pPr>
      <w:r>
        <w:rPr>
          <w:iCs/>
          <w:i/>
        </w:rPr>
        <w:t xml:space="preserve">Fuente: arquitectura fna.archimate</w:t>
      </w:r>
    </w:p>
    <w:p>
      <w:pPr>
        <w:pStyle w:val="Textoindependiente"/>
      </w:pPr>
    </w:p>
    <w:bookmarkEnd w:id="52"/>
    <w:bookmarkEnd w:id="53"/>
    <w:bookmarkStart w:id="61"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bookmarkStart w:id="0" w:name="fig:333bf352-187d-4623-a120-887a8b9580f5"/>
    <w:p>
      <w:pPr>
        <w:pStyle w:val="CaptionedFigure"/>
      </w:pPr>
      <w:bookmarkStart w:id="57" w:name="fig:"/>
      <w:r>
        <w:drawing>
          <wp:inline>
            <wp:extent cx="5600700" cy="3454012"/>
            <wp:effectExtent b="0" l="0" r="0" t="0"/>
            <wp:docPr descr="Imagen 4: Vista" title="" id="55" name="Picture"/>
            <a:graphic>
              <a:graphicData uri="http://schemas.openxmlformats.org/drawingml/2006/picture">
                <pic:pic>
                  <pic:nvPicPr>
                    <pic:cNvPr descr="images/FNA_Arquitectura-AreasNegocioFNA.png" id="56" name="Picture"/>
                    <pic:cNvPicPr>
                      <a:picLocks noChangeArrowheads="1" noChangeAspect="1"/>
                    </pic:cNvPicPr>
                  </pic:nvPicPr>
                  <pic:blipFill>
                    <a:blip r:embed="rId54"/>
                    <a:stretch>
                      <a:fillRect/>
                    </a:stretch>
                  </pic:blipFill>
                  <pic:spPr bwMode="auto">
                    <a:xfrm>
                      <a:off x="0" y="0"/>
                      <a:ext cx="5600700" cy="3454012"/>
                    </a:xfrm>
                    <a:prstGeom prst="rect">
                      <a:avLst/>
                    </a:prstGeom>
                    <a:noFill/>
                    <a:ln w="9525">
                      <a:noFill/>
                      <a:headEnd/>
                      <a:tailEnd/>
                    </a:ln>
                  </pic:spPr>
                </pic:pic>
              </a:graphicData>
            </a:graphic>
          </wp:inline>
        </w:drawing>
      </w:r>
      <w:bookmarkEnd w:id="57"/>
    </w:p>
    <w:p>
      <w:pPr>
        <w:pStyle w:val="ImageCaption"/>
      </w:pPr>
      <w:r>
        <w:t xml:space="preserve">Imagen 4: Vista</w:t>
      </w:r>
    </w:p>
    <w:bookmarkEnd w:id="0"/>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9" w:name="anexo-1.-áreas-fna-modeladas"/>
    <w:p>
      <w:pPr>
        <w:pStyle w:val="Ttulo3"/>
      </w:pPr>
      <w:r>
        <w:t xml:space="preserve">Anexo 1. Áreas FNA Modeladas</w:t>
      </w:r>
    </w:p>
    <w:bookmarkStart w:id="0" w:name="tbl:modelos1-id"/>
    <w:bookmarkStart w:id="58" w:name="tbl:modelos1-id"/>
    <w:p>
      <w:pPr>
        <w:pStyle w:val="TableCaption"/>
      </w:pPr>
      <w:r>
        <w:t xml:space="preserve">Tabla 3: Áreas de negocio de la Línea Base de Arquitectura (LBAF) del FNA analizadas.</w:t>
      </w:r>
      <w:r>
        <w:t xml:space="preserve"> </w:t>
      </w:r>
    </w:p>
    <w:tbl>
      <w:tblPr>
        <w:tblStyle w:val="Table"/>
        <w:tblW w:type="pct" w:w="5000"/>
        <w:tblLook w:firstRow="1" w:lastRow="0" w:firstColumn="0" w:lastColumn="0" w:noHBand="0" w:noVBand="0" w:val="0020"/>
        <w:tblCaption w:val="Tabla 3: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58"/>
    <w:bookmarkEnd w:id="0"/>
    <w:p>
      <w:pPr>
        <w:pStyle w:val="Textoindependiente"/>
      </w:pPr>
    </w:p>
    <w:bookmarkEnd w:id="59"/>
    <w:bookmarkStart w:id="60" w:name="anexo-2.-modelos-analizados"/>
    <w:p>
      <w:pPr>
        <w:pStyle w:val="Ttulo3"/>
      </w:pPr>
      <w:r>
        <w:t xml:space="preserve">Anexo 2. Modelos Analizados</w:t>
      </w:r>
    </w:p>
    <w:p>
      <w:pPr>
        <w:numPr>
          <w:ilvl w:val="0"/>
          <w:numId w:val="1005"/>
        </w:numPr>
        <w:pStyle w:val="Compact"/>
      </w:pPr>
      <w:r>
        <w:t xml:space="preserve">2015-06-01 modelo arquitectura togaf - fna banca digital v6.archimate</w:t>
      </w:r>
    </w:p>
    <w:p>
      <w:pPr>
        <w:numPr>
          <w:ilvl w:val="0"/>
          <w:numId w:val="1005"/>
        </w:numPr>
        <w:pStyle w:val="Compact"/>
      </w:pPr>
      <w:r>
        <w:t xml:space="preserve">aa002 - cobis ahorro voluntario.archimate</w:t>
      </w:r>
    </w:p>
    <w:p>
      <w:pPr>
        <w:numPr>
          <w:ilvl w:val="0"/>
          <w:numId w:val="1005"/>
        </w:numPr>
        <w:pStyle w:val="Compact"/>
      </w:pPr>
      <w:r>
        <w:t xml:space="preserve">aa003-cobis cesantias.archimate</w:t>
      </w:r>
    </w:p>
    <w:p>
      <w:pPr>
        <w:numPr>
          <w:ilvl w:val="0"/>
          <w:numId w:val="1005"/>
        </w:numPr>
        <w:pStyle w:val="Compact"/>
      </w:pPr>
      <w:r>
        <w:t xml:space="preserve">aa005-cobis cartera.archimate</w:t>
      </w:r>
    </w:p>
    <w:p>
      <w:pPr>
        <w:numPr>
          <w:ilvl w:val="0"/>
          <w:numId w:val="1005"/>
        </w:numPr>
        <w:pStyle w:val="Compact"/>
      </w:pPr>
      <w:r>
        <w:t xml:space="preserve">aa006-cobis tramites.archimate</w:t>
      </w:r>
    </w:p>
    <w:p>
      <w:pPr>
        <w:numPr>
          <w:ilvl w:val="0"/>
          <w:numId w:val="1005"/>
        </w:numPr>
        <w:pStyle w:val="Compact"/>
      </w:pPr>
      <w:r>
        <w:t xml:space="preserve">aa015-cobis clientes.archimate</w:t>
      </w:r>
    </w:p>
    <w:p>
      <w:pPr>
        <w:numPr>
          <w:ilvl w:val="0"/>
          <w:numId w:val="1005"/>
        </w:numPr>
        <w:pStyle w:val="Compact"/>
      </w:pPr>
      <w:r>
        <w:t xml:space="preserve">aa020-banca virtual.archimate</w:t>
      </w:r>
    </w:p>
    <w:p>
      <w:pPr>
        <w:numPr>
          <w:ilvl w:val="0"/>
          <w:numId w:val="1005"/>
        </w:numPr>
        <w:pStyle w:val="Compact"/>
      </w:pPr>
      <w:r>
        <w:t xml:space="preserve">aa021-fondo en linea.archimate</w:t>
      </w:r>
    </w:p>
    <w:p>
      <w:pPr>
        <w:numPr>
          <w:ilvl w:val="0"/>
          <w:numId w:val="1005"/>
        </w:numPr>
        <w:pStyle w:val="Compact"/>
      </w:pPr>
      <w:r>
        <w:t xml:space="preserve">aa074-fondo en linea personal.archimate</w:t>
      </w:r>
    </w:p>
    <w:p>
      <w:pPr>
        <w:numPr>
          <w:ilvl w:val="0"/>
          <w:numId w:val="1005"/>
        </w:numPr>
        <w:pStyle w:val="Compact"/>
      </w:pPr>
      <w:r>
        <w:rPr>
          <w:bCs/>
          <w:b/>
        </w:rPr>
        <w:t xml:space="preserve">aa091-cobis cx.archimate</w:t>
      </w:r>
    </w:p>
    <w:p>
      <w:pPr>
        <w:numPr>
          <w:ilvl w:val="0"/>
          <w:numId w:val="1005"/>
        </w:numPr>
        <w:pStyle w:val="Compact"/>
      </w:pPr>
      <w:r>
        <w:rPr>
          <w:bCs/>
          <w:b/>
        </w:rPr>
        <w:t xml:space="preserve">ae_fna.archimate</w:t>
      </w:r>
    </w:p>
    <w:p>
      <w:pPr>
        <w:numPr>
          <w:ilvl w:val="0"/>
          <w:numId w:val="1005"/>
        </w:numPr>
        <w:pStyle w:val="Compact"/>
      </w:pPr>
      <w:r>
        <w:rPr>
          <w:bCs/>
          <w:b/>
        </w:rPr>
        <w:t xml:space="preserve">ae_fna_as_is.archimate</w:t>
      </w:r>
    </w:p>
    <w:p>
      <w:pPr>
        <w:numPr>
          <w:ilvl w:val="0"/>
          <w:numId w:val="1005"/>
        </w:numPr>
        <w:pStyle w:val="Compact"/>
      </w:pPr>
      <w:r>
        <w:t xml:space="preserve">ae_fna_tobe.archimate</w:t>
      </w:r>
    </w:p>
    <w:p>
      <w:pPr>
        <w:numPr>
          <w:ilvl w:val="0"/>
          <w:numId w:val="1005"/>
        </w:numPr>
        <w:pStyle w:val="Compact"/>
      </w:pPr>
      <w:r>
        <w:t xml:space="preserve">arquitectura banca digital v4.archimate</w:t>
      </w:r>
    </w:p>
    <w:p>
      <w:pPr>
        <w:numPr>
          <w:ilvl w:val="0"/>
          <w:numId w:val="1005"/>
        </w:numPr>
        <w:pStyle w:val="Compact"/>
      </w:pPr>
      <w:r>
        <w:rPr>
          <w:bCs/>
          <w:b/>
        </w:rPr>
        <w:t xml:space="preserve">arquitectura fna.archimate</w:t>
      </w:r>
    </w:p>
    <w:p>
      <w:pPr>
        <w:numPr>
          <w:ilvl w:val="0"/>
          <w:numId w:val="1005"/>
        </w:numPr>
        <w:pStyle w:val="Compact"/>
      </w:pPr>
      <w:r>
        <w:t xml:space="preserve">arquitectura movil_v1.archimate</w:t>
      </w:r>
    </w:p>
    <w:p>
      <w:pPr>
        <w:numPr>
          <w:ilvl w:val="0"/>
          <w:numId w:val="1005"/>
        </w:numPr>
        <w:pStyle w:val="Compact"/>
      </w:pPr>
      <w:r>
        <w:t xml:space="preserve">arquitectura movil_v2.archimate</w:t>
      </w:r>
    </w:p>
    <w:p>
      <w:pPr>
        <w:numPr>
          <w:ilvl w:val="0"/>
          <w:numId w:val="1005"/>
        </w:numPr>
        <w:pStyle w:val="Compact"/>
      </w:pPr>
      <w:r>
        <w:t xml:space="preserve">fna_proyectos v2.0.archimate</w:t>
      </w:r>
    </w:p>
    <w:p>
      <w:pPr>
        <w:numPr>
          <w:ilvl w:val="0"/>
          <w:numId w:val="1005"/>
        </w:numPr>
        <w:pStyle w:val="Compact"/>
      </w:pPr>
      <w:r>
        <w:t xml:space="preserve">information_architecture_bi_ba_md_archixml.archimate</w:t>
      </w:r>
    </w:p>
    <w:p>
      <w:pPr>
        <w:numPr>
          <w:ilvl w:val="0"/>
          <w:numId w:val="1005"/>
        </w:numPr>
        <w:pStyle w:val="Compact"/>
      </w:pPr>
      <w:r>
        <w:t xml:space="preserve">ivr.archimate</w:t>
      </w:r>
    </w:p>
    <w:p>
      <w:pPr>
        <w:numPr>
          <w:ilvl w:val="0"/>
          <w:numId w:val="1005"/>
        </w:numPr>
        <w:pStyle w:val="Compact"/>
      </w:pPr>
      <w:r>
        <w:t xml:space="preserve">pa0003-pki.archimate</w:t>
      </w:r>
    </w:p>
    <w:p>
      <w:pPr>
        <w:numPr>
          <w:ilvl w:val="0"/>
          <w:numId w:val="1005"/>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bookmarkEnd w:id="60"/>
    <w:bookmarkEnd w:id="61"/>
    <w:bookmarkStart w:id="71"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distribución de población de servicios en el portafolio del FNA, esto es, la cuenta de servicios por tipo.</w:t>
      </w:r>
    </w:p>
    <w:bookmarkStart w:id="67"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bookmarkStart w:id="0" w:name="fig:672d7caa-7b33-4b9b-a09a-c7e6f14f0470"/>
    <w:p>
      <w:pPr>
        <w:pStyle w:val="CaptionedFigure"/>
      </w:pPr>
      <w:bookmarkStart w:id="65" w:name="fig:"/>
      <w:r>
        <w:drawing>
          <wp:inline>
            <wp:extent cx="5600700" cy="1808407"/>
            <wp:effectExtent b="0" l="0" r="0" t="0"/>
            <wp:docPr descr="Imagen 5: Desarrollo y profundización de las capacidades del FNA propuestas. Existen pocas las relaciones entre las capacidades de negocio y los servicios SOA del Fondo." title="" id="63" name="Picture"/>
            <a:graphic>
              <a:graphicData uri="http://schemas.openxmlformats.org/drawingml/2006/picture">
                <pic:pic>
                  <pic:nvPicPr>
                    <pic:cNvPr descr="images/conclusiones-2.png" id="64" name="Picture"/>
                    <pic:cNvPicPr>
                      <a:picLocks noChangeArrowheads="1" noChangeAspect="1"/>
                    </pic:cNvPicPr>
                  </pic:nvPicPr>
                  <pic:blipFill>
                    <a:blip r:embed="rId62"/>
                    <a:stretch>
                      <a:fillRect/>
                    </a:stretch>
                  </pic:blipFill>
                  <pic:spPr bwMode="auto">
                    <a:xfrm>
                      <a:off x="0" y="0"/>
                      <a:ext cx="5600700" cy="1808407"/>
                    </a:xfrm>
                    <a:prstGeom prst="rect">
                      <a:avLst/>
                    </a:prstGeom>
                    <a:noFill/>
                    <a:ln w="9525">
                      <a:noFill/>
                      <a:headEnd/>
                      <a:tailEnd/>
                    </a:ln>
                  </pic:spPr>
                </pic:pic>
              </a:graphicData>
            </a:graphic>
          </wp:inline>
        </w:drawing>
      </w:r>
      <w:bookmarkEnd w:id="65"/>
    </w:p>
    <w:p>
      <w:pPr>
        <w:pStyle w:val="ImageCaption"/>
      </w:pPr>
      <w:r>
        <w:t xml:space="preserve">Imagen 5: Desarrollo y profundización de las capacidades del FNA propuestas. Existen pocas las relaciones entre las capacidades de negocio y los servicios SOA del Fondo.</w:t>
      </w:r>
    </w:p>
    <w:bookmarkEnd w:id="0"/>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66">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67"/>
    <w:bookmarkStart w:id="70"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bookmarkStart w:id="0" w:name="tbl:alienacion-id"/>
    <w:bookmarkStart w:id="68" w:name="tbl:alienacion-id"/>
    <w:p>
      <w:pPr>
        <w:pStyle w:val="TableCaption"/>
      </w:pPr>
      <w:r>
        <w:t xml:space="preserve">Tabla 4: Catalogación de los tipos de servicios SOA de la Línea Base de Arquitectura (LBAF) del FNA analizada.</w:t>
      </w:r>
      <w:r>
        <w:t xml:space="preserve"> </w:t>
      </w:r>
    </w:p>
    <w:tbl>
      <w:tblPr>
        <w:tblStyle w:val="Table"/>
        <w:tblW w:type="auto" w:w="0"/>
        <w:tblLook w:firstRow="0" w:lastRow="0" w:firstColumn="0" w:lastColumn="0" w:noHBand="0" w:noVBand="0" w:val="0000"/>
        <w:tblCaption w:val="Tabla 4: Catalogación de los tipos de servicios SOA de la Línea Base de Arquitectura (LBAF) del FNA analizada. "/>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bookmarkEnd w:id="68"/>
    <w:bookmarkEnd w:id="0"/>
    <w:p>
      <w:pPr>
        <w:pStyle w:val="Textoindependiente"/>
      </w:pPr>
      <w:r>
        <w:rPr>
          <w:iCs/>
          <w:i/>
        </w:rPr>
        <w:t xml:space="preserve">Fuente: elaboración propia,</w:t>
      </w:r>
      <w:r>
        <w:rPr>
          <w:iCs/>
          <w:i/>
        </w:rPr>
        <w:t xml:space="preserve"> </w:t>
      </w:r>
      <w:hyperlink r:id="rId69">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Repositorio de arquitectura del FNA actualizado con arquitectura de referencia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1.fb6fcf2</w:t>
            </w:r>
            <w:r>
              <w:t xml:space="preserve"> </w:t>
            </w:r>
            <w:r>
              <w:t xml:space="preserve">del 10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70"/>
    <w:bookmarkEnd w:id="71"/>
    <w:bookmarkEnd w:id="72"/>
    <w:bookmarkStart w:id="80" w:name="Xaf64c79752c64ba81e3950b108fad39665c15dd"/>
    <w:p>
      <w:pPr>
        <w:pStyle w:val="Ttulo1"/>
      </w:pPr>
      <w:r>
        <w:t xml:space="preserve">Repositorio de Arquitectura del FNA Actualizado con Arquitectura de referencia Inicial</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bookmarkStart w:id="0" w:name="tbl:contenidos-id"/>
    <w:bookmarkStart w:id="73" w:name="tbl:contenidos-id"/>
    <w:p>
      <w:pPr>
        <w:pStyle w:val="TableCaption"/>
      </w:pPr>
      <w:r>
        <w:t xml:space="preserve">Tabla 5: Clasificación de información del repositorio del FNA.</w:t>
      </w:r>
      <w:r>
        <w:t xml:space="preserve"> </w:t>
      </w:r>
    </w:p>
    <w:tbl>
      <w:tblPr>
        <w:tblStyle w:val="Table"/>
        <w:tblW w:type="auto" w:w="0"/>
        <w:tblLook w:firstRow="1" w:lastRow="0" w:firstColumn="0" w:lastColumn="0" w:noHBand="0" w:noVBand="0" w:val="0020"/>
        <w:tblCaption w:val="Tabla 5: Clasificación de información del repositorio del FNA. "/>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bookmarkEnd w:id="73"/>
    <w:bookmarkEnd w:id="0"/>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6"/>
        </w:numPr>
        <w:pStyle w:val="Compact"/>
      </w:pPr>
      <w:r>
        <w:t xml:space="preserve">Redundancias y el atraso de la información de los modelos y conceptos.</w:t>
      </w:r>
    </w:p>
    <w:p>
      <w:pPr>
        <w:numPr>
          <w:ilvl w:val="0"/>
          <w:numId w:val="1006"/>
        </w:numPr>
        <w:pStyle w:val="Compact"/>
      </w:pPr>
      <w:r>
        <w:t xml:space="preserve">Incompletitud en el modelamiento de conceptos, como las capacidades de negocio, o los procesos de negocio del FNA.</w:t>
      </w:r>
    </w:p>
    <w:p>
      <w:pPr>
        <w:numPr>
          <w:ilvl w:val="0"/>
          <w:numId w:val="1006"/>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bookmarkStart w:id="0" w:name="fig:libreria.png"/>
    <w:p>
      <w:pPr>
        <w:pStyle w:val="CaptionedFigure"/>
      </w:pPr>
      <w:bookmarkStart w:id="77" w:name="fig:libreria.png"/>
      <w:r>
        <w:drawing>
          <wp:inline>
            <wp:extent cx="5600700" cy="3558896"/>
            <wp:effectExtent b="0" l="0" r="0" t="0"/>
            <wp:docPr descr="Imagen 6: Herramienta para navegación y clasificación de contenidos del FNA." title="" id="75" name="Picture"/>
            <a:graphic>
              <a:graphicData uri="http://schemas.openxmlformats.org/drawingml/2006/picture">
                <pic:pic>
                  <pic:nvPicPr>
                    <pic:cNvPr descr="images/libreria.png" id="76" name="Picture"/>
                    <pic:cNvPicPr>
                      <a:picLocks noChangeArrowheads="1" noChangeAspect="1"/>
                    </pic:cNvPicPr>
                  </pic:nvPicPr>
                  <pic:blipFill>
                    <a:blip r:embed="rId74"/>
                    <a:stretch>
                      <a:fillRect/>
                    </a:stretch>
                  </pic:blipFill>
                  <pic:spPr bwMode="auto">
                    <a:xfrm>
                      <a:off x="0" y="0"/>
                      <a:ext cx="5600700" cy="3558896"/>
                    </a:xfrm>
                    <a:prstGeom prst="rect">
                      <a:avLst/>
                    </a:prstGeom>
                    <a:noFill/>
                    <a:ln w="9525">
                      <a:noFill/>
                      <a:headEnd/>
                      <a:tailEnd/>
                    </a:ln>
                  </pic:spPr>
                </pic:pic>
              </a:graphicData>
            </a:graphic>
          </wp:inline>
        </w:drawing>
      </w:r>
      <w:bookmarkEnd w:id="77"/>
    </w:p>
    <w:p>
      <w:pPr>
        <w:pStyle w:val="ImageCaption"/>
      </w:pPr>
      <w:r>
        <w:t xml:space="preserve">Imagen 6: Herramienta para navegación y clasificación de contenidos del FNA.</w:t>
      </w:r>
    </w:p>
    <w:bookmarkEnd w:id="0"/>
    <w:p>
      <w:pPr>
        <w:pStyle w:val="Textoindependiente"/>
      </w:pPr>
      <w:r>
        <w:rPr>
          <w:iCs/>
          <w:i/>
        </w:rPr>
        <w:t xml:space="preserve">Fuente: elaboración propia.</w:t>
      </w:r>
    </w:p>
    <w:bookmarkStart w:id="79" w:name="anexo-2.-modelos-actualizados"/>
    <w:p>
      <w:pPr>
        <w:pStyle w:val="Ttulo2"/>
      </w:pPr>
      <w:r>
        <w:t xml:space="preserve">Anexo 2. Modelos Actualizados</w:t>
      </w:r>
    </w:p>
    <w:p>
      <w:pPr>
        <w:pStyle w:val="FirstParagraph"/>
      </w:pPr>
      <w:r>
        <w:t xml:space="preserve">Modelos actualizados por el ejercicio actual y por tanto, entregados al FNA, producto PR06.</w:t>
      </w:r>
    </w:p>
    <w:p>
      <w:pPr>
        <w:pStyle w:val="Textoindependiente"/>
      </w:pPr>
      <w:r>
        <w:t xml:space="preserve">Estos modelos se encuentran por ahora, mientras dura el proyecto en repositorio intermedio de entregas</w:t>
      </w:r>
      <w:r>
        <w:t xml:space="preserve"> </w:t>
      </w:r>
      <w:hyperlink r:id="rId78">
        <w:r>
          <w:rPr>
            <w:rStyle w:val="Hipervnculo"/>
          </w:rPr>
          <w:t xml:space="preserve">Repositorio SOA</w:t>
        </w:r>
      </w:hyperlink>
      <w:r>
        <w:t xml:space="preserve">.</w:t>
      </w:r>
    </w:p>
    <w:p>
      <w:pPr>
        <w:numPr>
          <w:ilvl w:val="0"/>
          <w:numId w:val="1007"/>
        </w:numPr>
        <w:pStyle w:val="Compact"/>
      </w:pPr>
      <w:r>
        <w:t xml:space="preserve">2015-06-01 modelo arquitectura togaf - fna banca digital v6.archimate</w:t>
      </w:r>
    </w:p>
    <w:p>
      <w:pPr>
        <w:numPr>
          <w:ilvl w:val="0"/>
          <w:numId w:val="1007"/>
        </w:numPr>
        <w:pStyle w:val="Compact"/>
      </w:pPr>
      <w:r>
        <w:t xml:space="preserve">aa002 - cobis ahorro voluntario.archimate</w:t>
      </w:r>
    </w:p>
    <w:p>
      <w:pPr>
        <w:numPr>
          <w:ilvl w:val="0"/>
          <w:numId w:val="1007"/>
        </w:numPr>
        <w:pStyle w:val="Compact"/>
      </w:pPr>
      <w:r>
        <w:t xml:space="preserve">aa003-cobis cesantias.archimate</w:t>
      </w:r>
    </w:p>
    <w:p>
      <w:pPr>
        <w:numPr>
          <w:ilvl w:val="0"/>
          <w:numId w:val="1007"/>
        </w:numPr>
        <w:pStyle w:val="Compact"/>
      </w:pPr>
      <w:r>
        <w:t xml:space="preserve">aa005-cobis cartera.archimate</w:t>
      </w:r>
    </w:p>
    <w:p>
      <w:pPr>
        <w:numPr>
          <w:ilvl w:val="0"/>
          <w:numId w:val="1007"/>
        </w:numPr>
        <w:pStyle w:val="Compact"/>
      </w:pPr>
      <w:r>
        <w:t xml:space="preserve">aa006-cobis tramites.archimate</w:t>
      </w:r>
    </w:p>
    <w:p>
      <w:pPr>
        <w:numPr>
          <w:ilvl w:val="0"/>
          <w:numId w:val="1007"/>
        </w:numPr>
        <w:pStyle w:val="Compact"/>
      </w:pPr>
      <w:r>
        <w:t xml:space="preserve">aa015-cobis clientes.archimate</w:t>
      </w:r>
    </w:p>
    <w:p>
      <w:pPr>
        <w:numPr>
          <w:ilvl w:val="0"/>
          <w:numId w:val="1007"/>
        </w:numPr>
        <w:pStyle w:val="Compact"/>
      </w:pPr>
      <w:r>
        <w:t xml:space="preserve">aa020-banca virtual.archimate</w:t>
      </w:r>
    </w:p>
    <w:p>
      <w:pPr>
        <w:numPr>
          <w:ilvl w:val="0"/>
          <w:numId w:val="1007"/>
        </w:numPr>
        <w:pStyle w:val="Compact"/>
      </w:pPr>
      <w:r>
        <w:t xml:space="preserve">aa021-fondo en linea.archimate</w:t>
      </w:r>
    </w:p>
    <w:p>
      <w:pPr>
        <w:numPr>
          <w:ilvl w:val="0"/>
          <w:numId w:val="1007"/>
        </w:numPr>
        <w:pStyle w:val="Compact"/>
      </w:pPr>
      <w:r>
        <w:t xml:space="preserve">aa074-fondo en linea personal.archimate</w:t>
      </w:r>
    </w:p>
    <w:p>
      <w:pPr>
        <w:numPr>
          <w:ilvl w:val="0"/>
          <w:numId w:val="1007"/>
        </w:numPr>
        <w:pStyle w:val="Compact"/>
      </w:pPr>
      <w:r>
        <w:rPr>
          <w:bCs/>
          <w:b/>
        </w:rPr>
        <w:t xml:space="preserve">aa091-cobis cx.archimate</w:t>
      </w:r>
    </w:p>
    <w:p>
      <w:pPr>
        <w:numPr>
          <w:ilvl w:val="0"/>
          <w:numId w:val="1007"/>
        </w:numPr>
        <w:pStyle w:val="Compact"/>
      </w:pPr>
      <w:r>
        <w:rPr>
          <w:bCs/>
          <w:b/>
        </w:rPr>
        <w:t xml:space="preserve">ae_fna.archimate</w:t>
      </w:r>
    </w:p>
    <w:p>
      <w:pPr>
        <w:numPr>
          <w:ilvl w:val="0"/>
          <w:numId w:val="1007"/>
        </w:numPr>
        <w:pStyle w:val="Compact"/>
      </w:pPr>
      <w:r>
        <w:rPr>
          <w:bCs/>
          <w:b/>
        </w:rPr>
        <w:t xml:space="preserve">ae_fna_as_is.archimate</w:t>
      </w:r>
    </w:p>
    <w:p>
      <w:pPr>
        <w:numPr>
          <w:ilvl w:val="0"/>
          <w:numId w:val="1007"/>
        </w:numPr>
        <w:pStyle w:val="Compact"/>
      </w:pPr>
      <w:r>
        <w:t xml:space="preserve">ae_fna_tobe.archimate</w:t>
      </w:r>
    </w:p>
    <w:p>
      <w:pPr>
        <w:numPr>
          <w:ilvl w:val="0"/>
          <w:numId w:val="1007"/>
        </w:numPr>
        <w:pStyle w:val="Compact"/>
      </w:pPr>
      <w:r>
        <w:t xml:space="preserve">arquitectura banca digital v4.archimate</w:t>
      </w:r>
    </w:p>
    <w:p>
      <w:pPr>
        <w:numPr>
          <w:ilvl w:val="0"/>
          <w:numId w:val="1007"/>
        </w:numPr>
        <w:pStyle w:val="Compact"/>
      </w:pPr>
      <w:r>
        <w:rPr>
          <w:bCs/>
          <w:b/>
        </w:rPr>
        <w:t xml:space="preserve">arquitectura fna.archimate</w:t>
      </w:r>
    </w:p>
    <w:p>
      <w:pPr>
        <w:numPr>
          <w:ilvl w:val="0"/>
          <w:numId w:val="1007"/>
        </w:numPr>
        <w:pStyle w:val="Compact"/>
      </w:pPr>
      <w:r>
        <w:t xml:space="preserve">arquitectura movil_v1.archimate</w:t>
      </w:r>
    </w:p>
    <w:p>
      <w:pPr>
        <w:numPr>
          <w:ilvl w:val="0"/>
          <w:numId w:val="1007"/>
        </w:numPr>
        <w:pStyle w:val="Compact"/>
      </w:pPr>
      <w:r>
        <w:t xml:space="preserve">arquitectura movil_v2.archimate</w:t>
      </w:r>
    </w:p>
    <w:p>
      <w:pPr>
        <w:numPr>
          <w:ilvl w:val="0"/>
          <w:numId w:val="1007"/>
        </w:numPr>
        <w:pStyle w:val="Compact"/>
      </w:pPr>
      <w:r>
        <w:t xml:space="preserve">fna_proyectos v2.0.archimate</w:t>
      </w:r>
    </w:p>
    <w:p>
      <w:pPr>
        <w:numPr>
          <w:ilvl w:val="0"/>
          <w:numId w:val="1007"/>
        </w:numPr>
        <w:pStyle w:val="Compact"/>
      </w:pPr>
      <w:r>
        <w:t xml:space="preserve">information_architecture_bi_ba_md_archixml.archimate</w:t>
      </w:r>
    </w:p>
    <w:p>
      <w:pPr>
        <w:numPr>
          <w:ilvl w:val="0"/>
          <w:numId w:val="1007"/>
        </w:numPr>
        <w:pStyle w:val="Compact"/>
      </w:pPr>
      <w:r>
        <w:t xml:space="preserve">ivr.archimate</w:t>
      </w:r>
    </w:p>
    <w:p>
      <w:pPr>
        <w:numPr>
          <w:ilvl w:val="0"/>
          <w:numId w:val="1007"/>
        </w:numPr>
        <w:pStyle w:val="Compact"/>
      </w:pPr>
      <w:r>
        <w:t xml:space="preserve">pa0003-pki.archimate</w:t>
      </w:r>
    </w:p>
    <w:p>
      <w:pPr>
        <w:numPr>
          <w:ilvl w:val="0"/>
          <w:numId w:val="1007"/>
        </w:numPr>
        <w:pStyle w:val="Compact"/>
      </w:pPr>
      <w:r>
        <w:t xml:space="preserve">workmanager.archimate</w:t>
      </w:r>
    </w:p>
    <w:p>
      <w:pPr>
        <w:pStyle w:val="FirstParagraph"/>
      </w:pPr>
    </w:p>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1.fb6fcf2</w:t>
      </w:r>
    </w:p>
    <w:p>
      <w:pPr>
        <w:pStyle w:val="FirstParagraph"/>
      </w:pPr>
    </w:p>
    <w:bookmarkEnd w:id="79"/>
    <w:bookmarkEnd w:id="80"/>
    <w:bookmarkStart w:id="8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81" w:name="justificación-1"/>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81"/>
    <w:bookmarkStart w:id="82" w:name="contenidos-2"/>
    <w:p>
      <w:pPr>
        <w:pStyle w:val="Ttulo2"/>
      </w:pPr>
      <w:r>
        <w:t xml:space="preserve">Contenidos</w:t>
      </w:r>
    </w:p>
    <w:p>
      <w:pPr>
        <w:numPr>
          <w:ilvl w:val="0"/>
          <w:numId w:val="1008"/>
        </w:numPr>
        <w:pStyle w:val="Compact"/>
      </w:pPr>
      <w:r>
        <w:t xml:space="preserve">Posibles estadios de adopción y madurez de las arquitecturas para el FNA</w:t>
      </w:r>
    </w:p>
    <w:p>
      <w:pPr>
        <w:numPr>
          <w:ilvl w:val="0"/>
          <w:numId w:val="1008"/>
        </w:numPr>
        <w:pStyle w:val="Compact"/>
      </w:pPr>
      <w:r>
        <w:t xml:space="preserve">Relación de las transiciones con las capacidades de negocio y tecnología del FNA</w:t>
      </w:r>
    </w:p>
    <w:p>
      <w:pPr>
        <w:numPr>
          <w:ilvl w:val="0"/>
          <w:numId w:val="1008"/>
        </w:numPr>
        <w:pStyle w:val="Compact"/>
      </w:pPr>
      <w:r>
        <w:t xml:space="preserve">Relación de las transiciones con la efectividad (madurez) de los servicios SOA del FNA</w:t>
      </w:r>
    </w:p>
    <w:p>
      <w:pPr>
        <w:numPr>
          <w:ilvl w:val="0"/>
          <w:numId w:val="1008"/>
        </w:numPr>
        <w:pStyle w:val="Compact"/>
      </w:pPr>
      <w:r>
        <w:t xml:space="preserve">Métodos del FNA para la creación y gestión de arquitecturas de transición</w:t>
      </w:r>
    </w:p>
    <w:p>
      <w:pPr>
        <w:numPr>
          <w:ilvl w:val="0"/>
          <w:numId w:val="1008"/>
        </w:numPr>
        <w:pStyle w:val="Compact"/>
      </w:pPr>
      <w:r>
        <w:t xml:space="preserve">Criterios y métodos de evaluación de arquitecturas de transición</w:t>
      </w:r>
    </w:p>
    <w:p>
      <w:pPr>
        <w:pStyle w:val="FirstParagraph"/>
      </w:pPr>
    </w:p>
    <w:bookmarkEnd w:id="82"/>
    <w:bookmarkStart w:id="83" w:name="criterios-de-aceptación-1"/>
    <w:p>
      <w:pPr>
        <w:pStyle w:val="Ttulo2"/>
      </w:pPr>
      <w:r>
        <w:t xml:space="preserve">Criterios de Aceptación</w:t>
      </w:r>
    </w:p>
    <w:p>
      <w:pPr>
        <w:numPr>
          <w:ilvl w:val="0"/>
          <w:numId w:val="1009"/>
        </w:numPr>
        <w:pStyle w:val="Compact"/>
      </w:pPr>
      <w:r>
        <w:t xml:space="preserve">Entendimiento de los métodos, tanto de creación de transiciones, como de hoja de rutas para su aplicación en el FNA</w:t>
      </w:r>
    </w:p>
    <w:p>
      <w:pPr>
        <w:numPr>
          <w:ilvl w:val="0"/>
          <w:numId w:val="1009"/>
        </w:numPr>
        <w:pStyle w:val="Compact"/>
      </w:pPr>
      <w:r>
        <w:t xml:space="preserve">Entendimiento del relacionamiento de las capacidades del FNA y los índices de madurez SOA con las arquitecturas de transición</w:t>
      </w:r>
    </w:p>
    <w:p>
      <w:pPr>
        <w:numPr>
          <w:ilvl w:val="0"/>
          <w:numId w:val="1009"/>
        </w:numPr>
        <w:pStyle w:val="Compact"/>
      </w:pPr>
      <w:r>
        <w:t xml:space="preserve">Entendimiento del método para gestionar las arquitecturas de transición del FNA</w:t>
      </w:r>
    </w:p>
    <w:p>
      <w:pPr>
        <w:numPr>
          <w:ilvl w:val="0"/>
          <w:numId w:val="1009"/>
        </w:numPr>
        <w:pStyle w:val="Compact"/>
      </w:pPr>
      <w:r>
        <w:t xml:space="preserve">Entendimiento del rol de la Oficina de Arquitectura en la gestión de las arquitecturas de transición del FNA</w:t>
      </w:r>
    </w:p>
    <w:p>
      <w:pPr>
        <w:pStyle w:val="FirstParagraph"/>
      </w:pPr>
    </w:p>
    <w:bookmarkEnd w:id="83"/>
    <w:bookmarkStart w:id="87" w:name="modelo-de-implementación-del-pry02-1"/>
    <w:p>
      <w:pPr>
        <w:pStyle w:val="Ttulo2"/>
      </w:pPr>
      <w:r>
        <w:t xml:space="preserve">Modelo de Implementación del PRY02</w:t>
      </w:r>
    </w:p>
    <w:bookmarkStart w:id="0" w:name="fig:63a46d2e-4c25-4dd3-a0f0-bef04e11af4a"/>
    <w:p>
      <w:pPr>
        <w:pStyle w:val="CaptionedFigure"/>
      </w:pPr>
      <w:bookmarkStart w:id="86" w:name="fig:"/>
      <w:r>
        <w:drawing>
          <wp:inline>
            <wp:extent cx="5600700" cy="4264411"/>
            <wp:effectExtent b="0" l="0" r="0" t="0"/>
            <wp:docPr descr="Imagen 7: Plan de Implementación del Proyecto Arquitectura de Referencia SOA 2.0 del FNA (PRY02), 2023. Junio 2023 a julio 2023" title="" id="84" name="Picture"/>
            <a:graphic>
              <a:graphicData uri="http://schemas.openxmlformats.org/drawingml/2006/picture">
                <pic:pic>
                  <pic:nvPicPr>
                    <pic:cNvPr descr="images/pry2.png" id="85"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86"/>
    </w:p>
    <w:p>
      <w:pPr>
        <w:pStyle w:val="ImageCaption"/>
      </w:pPr>
      <w:r>
        <w:t xml:space="preserve">Imagen 7: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Posibles estadios de adopción y transición (madurez) de las arquitecturas para 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1.fb6fcf2</w:t>
            </w:r>
            <w:r>
              <w:t xml:space="preserve"> </w:t>
            </w:r>
            <w:r>
              <w:t xml:space="preserve">del 10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87"/>
    <w:bookmarkEnd w:id="88"/>
    <w:bookmarkStart w:id="108" w:name="Xf8540880ecb34a23f1564518e7c336768e12475"/>
    <w:p>
      <w:pPr>
        <w:pStyle w:val="Ttulo1"/>
      </w:pPr>
      <w:r>
        <w:t xml:space="preserve">Estadios de Adopción y Transición de las arquitecturas para el FNA</w:t>
      </w:r>
    </w:p>
    <w:p>
      <w:pPr>
        <w:pStyle w:val="FirstParagraph"/>
      </w:pPr>
      <w:r>
        <w:t xml:space="preserve">La noción de adopción en el contexto de este proyecto es un instrumento para la adaptación de una nueva arquitectura dentro de un contexto de la empresa. El concepto de</w:t>
      </w:r>
      <w:r>
        <w:t xml:space="preserve"> </w:t>
      </w:r>
      <w:r>
        <w:rPr>
          <w:iCs/>
          <w:i/>
        </w:rPr>
        <w:t xml:space="preserve">adopción de nuevas arquitecturas</w:t>
      </w:r>
      <w:r>
        <w:t xml:space="preserve">, visto también como instrumento de navegación, es importante porque informa sobre el horizonte de cambios contenidos en la hoja de ruta de las arquitecturas del FNA, determinada en este caso por la Oficina de Arquitectura de la empresa. Por otro lado, la adopción como proceso, provee información que sirve para tomar decisión a lo largo de dicha hoja de ruta, actividad claramente importante.</w:t>
      </w:r>
    </w:p>
    <w:p>
      <w:pPr>
        <w:pStyle w:val="Textoindependiente"/>
      </w:pPr>
      <w:r>
        <w:t xml:space="preserve">Antes de desarrollar los métodos de adopción, como proceso y como instrumento, debemos describir los estadios de expansión a los que le apuntamos, los cuales darán un orden y una percepción de progreso mientras la hoja de ruta de las arquitecturas se va desplegando.</w:t>
      </w:r>
    </w:p>
    <w:p>
      <w:pPr>
        <w:pStyle w:val="Textoindependiente"/>
      </w:pPr>
      <w:r>
        <w:t xml:space="preserve">Presentaremos a continuación un modelo de transición de capacidades de la arquitectura basado en niveles o estadios de expansión de las arquitecturas en el que involucraremos las capacidades de arquitectura y cómo estas van o apareciendo o fortaleciéndose en el tiempo.</w:t>
      </w:r>
    </w:p>
    <w:p>
      <w:pPr>
        <w:pStyle w:val="Textoindependiente"/>
      </w:pPr>
      <w:r>
        <w:t xml:space="preserve">Estadios de adopción SOA en el FNA</w:t>
      </w:r>
    </w:p>
    <w:p>
      <w:pPr>
        <w:numPr>
          <w:ilvl w:val="0"/>
          <w:numId w:val="1010"/>
        </w:numPr>
        <w:pStyle w:val="Compact"/>
      </w:pPr>
      <w:r>
        <w:t xml:space="preserve">Intradepartamental y Servicios, Aplicaciones</w:t>
      </w:r>
    </w:p>
    <w:p>
      <w:pPr>
        <w:numPr>
          <w:ilvl w:val="0"/>
          <w:numId w:val="1010"/>
        </w:numPr>
        <w:pStyle w:val="Compact"/>
      </w:pPr>
      <w:r>
        <w:t xml:space="preserve">Unidades de Negocio y Productos de Negocio</w:t>
      </w:r>
    </w:p>
    <w:p>
      <w:pPr>
        <w:numPr>
          <w:ilvl w:val="0"/>
          <w:numId w:val="1010"/>
        </w:numPr>
        <w:pStyle w:val="Compact"/>
      </w:pPr>
      <w:r>
        <w:t xml:space="preserve">Entre Unidades de Negocio y Productos de Negocio</w:t>
      </w:r>
    </w:p>
    <w:p>
      <w:pPr>
        <w:numPr>
          <w:ilvl w:val="0"/>
          <w:numId w:val="1010"/>
        </w:numPr>
        <w:pStyle w:val="Compact"/>
      </w:pPr>
      <w:r>
        <w:t xml:space="preserve">Empresarial y Proveedores de Servicios SOA</w:t>
      </w:r>
    </w:p>
    <w:p>
      <w:pPr>
        <w:pStyle w:val="FirstParagraph"/>
      </w:pPr>
    </w:p>
    <w:bookmarkStart w:id="0" w:name="fig:adopcion1a.png"/>
    <w:p>
      <w:pPr>
        <w:pStyle w:val="CaptionedFigure"/>
      </w:pPr>
      <w:bookmarkStart w:id="92" w:name="fig:adopcion1a.png"/>
      <w:r>
        <w:drawing>
          <wp:inline>
            <wp:extent cx="5600700" cy="3039404"/>
            <wp:effectExtent b="0" l="0" r="0" t="0"/>
            <wp:docPr descr="Imagen 8: Estadios de adopción SOA en el FNA propuestos por E-Services." title="" id="90" name="Picture"/>
            <a:graphic>
              <a:graphicData uri="http://schemas.openxmlformats.org/drawingml/2006/picture">
                <pic:pic>
                  <pic:nvPicPr>
                    <pic:cNvPr descr="images/adopcion1a.png" id="91" name="Picture"/>
                    <pic:cNvPicPr>
                      <a:picLocks noChangeArrowheads="1" noChangeAspect="1"/>
                    </pic:cNvPicPr>
                  </pic:nvPicPr>
                  <pic:blipFill>
                    <a:blip r:embed="rId89"/>
                    <a:stretch>
                      <a:fillRect/>
                    </a:stretch>
                  </pic:blipFill>
                  <pic:spPr bwMode="auto">
                    <a:xfrm>
                      <a:off x="0" y="0"/>
                      <a:ext cx="5600700" cy="3039404"/>
                    </a:xfrm>
                    <a:prstGeom prst="rect">
                      <a:avLst/>
                    </a:prstGeom>
                    <a:noFill/>
                    <a:ln w="9525">
                      <a:noFill/>
                      <a:headEnd/>
                      <a:tailEnd/>
                    </a:ln>
                  </pic:spPr>
                </pic:pic>
              </a:graphicData>
            </a:graphic>
          </wp:inline>
        </w:drawing>
      </w:r>
      <w:bookmarkEnd w:id="92"/>
    </w:p>
    <w:p>
      <w:pPr>
        <w:pStyle w:val="ImageCaption"/>
      </w:pPr>
      <w:r>
        <w:t xml:space="preserve">Imagen 8: Estadios de adopción SOA en el FNA propuestos por E-Services.</w:t>
      </w:r>
    </w:p>
    <w:bookmarkEnd w:id="0"/>
    <w:p>
      <w:pPr>
        <w:pStyle w:val="Textoindependiente"/>
      </w:pPr>
      <w:r>
        <w:t xml:space="preserve">A lo largo de esta secuencia de adopción de cambios establecida arriba, a la que llamamos estadios de adopción SOA del FNA, las capacidades del FNA involucradas y afectadas son las que indicamos en el siguiente apartado.</w:t>
      </w:r>
    </w:p>
    <w:bookmarkStart w:id="97" w:name="capacidades-de-la-empresa-fna-1"/>
    <w:p>
      <w:pPr>
        <w:pStyle w:val="Ttulo2"/>
      </w:pPr>
      <w:r>
        <w:t xml:space="preserve">Capacidades de la Empresa FNA</w:t>
      </w:r>
    </w:p>
    <w:p>
      <w:pPr>
        <w:pStyle w:val="FirstParagraph"/>
      </w:pPr>
      <w:r>
        <w:t xml:space="preserve">Esta vista preliminar de capacidades consignadas en el repositorio de arquitectura del FNA por la Fase I de E-Service, llamada la línea base de arquitectura, producto PR12, Diseño detallado y vistas funcional, despliegue, información, integración y tecnología​, nos servirá posteriormente para relacionar dichas capacidades con lo niveles de adopción SOA propuesto arriba.</w:t>
      </w:r>
    </w:p>
    <w:p>
      <w:pPr>
        <w:pStyle w:val="Textoindependiente"/>
      </w:pPr>
      <w:r>
        <w:t xml:space="preserve">Capacidades de negocio encontradas:</w:t>
      </w:r>
    </w:p>
    <w:p>
      <w:pPr>
        <w:numPr>
          <w:ilvl w:val="0"/>
          <w:numId w:val="1011"/>
        </w:numPr>
        <w:pStyle w:val="Compact"/>
      </w:pPr>
      <w:r>
        <w:t xml:space="preserve">Desarrollo de nuevos negocios</w:t>
      </w:r>
    </w:p>
    <w:p>
      <w:pPr>
        <w:numPr>
          <w:ilvl w:val="0"/>
          <w:numId w:val="1011"/>
        </w:numPr>
        <w:pStyle w:val="Compact"/>
      </w:pPr>
      <w:r>
        <w:t xml:space="preserve">Gestión de Cliente</w:t>
      </w:r>
    </w:p>
    <w:p>
      <w:pPr>
        <w:numPr>
          <w:ilvl w:val="0"/>
          <w:numId w:val="1011"/>
        </w:numPr>
        <w:pStyle w:val="Compact"/>
      </w:pPr>
      <w:r>
        <w:t xml:space="preserve">Administración de Recursos y Negocio</w:t>
      </w:r>
    </w:p>
    <w:p>
      <w:pPr>
        <w:numPr>
          <w:ilvl w:val="0"/>
          <w:numId w:val="1011"/>
        </w:numPr>
        <w:pStyle w:val="Compact"/>
      </w:pPr>
      <w:r>
        <w:t xml:space="preserve">Entrega de Productos</w:t>
      </w:r>
    </w:p>
    <w:p>
      <w:pPr>
        <w:numPr>
          <w:ilvl w:val="0"/>
          <w:numId w:val="1011"/>
        </w:numPr>
        <w:pStyle w:val="Compact"/>
      </w:pPr>
      <w:r>
        <w:t xml:space="preserve">Servicios de Cuentas</w:t>
      </w:r>
    </w:p>
    <w:p>
      <w:pPr>
        <w:numPr>
          <w:ilvl w:val="0"/>
          <w:numId w:val="1011"/>
        </w:numPr>
        <w:pStyle w:val="Compact"/>
      </w:pPr>
      <w:r>
        <w:t xml:space="preserve">Gestión Financiera</w:t>
      </w:r>
    </w:p>
    <w:p>
      <w:pPr>
        <w:numPr>
          <w:ilvl w:val="0"/>
          <w:numId w:val="1011"/>
        </w:numPr>
        <w:pStyle w:val="Compact"/>
      </w:pPr>
      <w:r>
        <w:t xml:space="preserve">Gestión de productos y funcionalidades (ERP)</w:t>
      </w:r>
    </w:p>
    <w:p>
      <w:pPr>
        <w:numPr>
          <w:ilvl w:val="0"/>
          <w:numId w:val="1011"/>
        </w:numPr>
        <w:pStyle w:val="Compact"/>
      </w:pPr>
      <w:r>
        <w:t xml:space="preserve">Gestión de tecnología para negocios</w:t>
      </w:r>
    </w:p>
    <w:p>
      <w:pPr>
        <w:pStyle w:val="FirstParagraph"/>
      </w:pPr>
      <w:r>
        <w:rPr>
          <w:iCs/>
          <w:i/>
        </w:rPr>
        <w:t xml:space="preserve">Fuente: Repositorio de arquitectura, línea base del FNA. PR12 de E-Service Fase II.</w:t>
      </w:r>
    </w:p>
    <w:p>
      <w:pPr>
        <w:pStyle w:val="Textoindependiente"/>
      </w:pPr>
      <w:r>
        <w:rPr>
          <w:bCs/>
          <w:b/>
        </w:rPr>
        <w:t xml:space="preserve">Nota</w:t>
      </w:r>
      <w:r>
        <w:t xml:space="preserve">: esta lista de capacidades no es exhaustiva. Es tan solo una parte de las capacidades que son foco de la actual consultoría.</w:t>
      </w:r>
    </w:p>
    <w:p>
      <w:pPr>
        <w:pStyle w:val="Textoindependiente"/>
      </w:pPr>
    </w:p>
    <w:bookmarkStart w:id="0" w:name="fig:capacidades-neg.png"/>
    <w:p>
      <w:pPr>
        <w:pStyle w:val="CaptionedFigure"/>
      </w:pPr>
      <w:bookmarkStart w:id="96" w:name="fig:capacidades-neg.png"/>
      <w:r>
        <w:drawing>
          <wp:inline>
            <wp:extent cx="5600700" cy="1473868"/>
            <wp:effectExtent b="0" l="0" r="0" t="0"/>
            <wp:docPr descr="Imagen 9: Capacidades encontradas en el repositorio de arquitectura del FNA, línea base." title="" id="94" name="Picture"/>
            <a:graphic>
              <a:graphicData uri="http://schemas.openxmlformats.org/drawingml/2006/picture">
                <pic:pic>
                  <pic:nvPicPr>
                    <pic:cNvPr descr="images/capacidades-neg.png" id="95" name="Picture"/>
                    <pic:cNvPicPr>
                      <a:picLocks noChangeArrowheads="1" noChangeAspect="1"/>
                    </pic:cNvPicPr>
                  </pic:nvPicPr>
                  <pic:blipFill>
                    <a:blip r:embed="rId93"/>
                    <a:stretch>
                      <a:fillRect/>
                    </a:stretch>
                  </pic:blipFill>
                  <pic:spPr bwMode="auto">
                    <a:xfrm>
                      <a:off x="0" y="0"/>
                      <a:ext cx="5600700" cy="1473868"/>
                    </a:xfrm>
                    <a:prstGeom prst="rect">
                      <a:avLst/>
                    </a:prstGeom>
                    <a:noFill/>
                    <a:ln w="9525">
                      <a:noFill/>
                      <a:headEnd/>
                      <a:tailEnd/>
                    </a:ln>
                  </pic:spPr>
                </pic:pic>
              </a:graphicData>
            </a:graphic>
          </wp:inline>
        </w:drawing>
      </w:r>
      <w:bookmarkEnd w:id="96"/>
    </w:p>
    <w:p>
      <w:pPr>
        <w:pStyle w:val="ImageCaption"/>
      </w:pPr>
      <w:r>
        <w:t xml:space="preserve">Imagen 9: Capacidades encontradas en el repositorio de arquitectura del FNA, línea base.</w:t>
      </w:r>
    </w:p>
    <w:bookmarkEnd w:id="0"/>
    <w:p>
      <w:pPr>
        <w:pStyle w:val="Textoindependiente"/>
      </w:pPr>
      <w:r>
        <w:rPr>
          <w:iCs/>
          <w:i/>
        </w:rPr>
        <w:t xml:space="preserve">Fuente: Repositorio de arquitectura, línea base del FNA. PR12 de E-Service Fase II.</w:t>
      </w:r>
    </w:p>
    <w:p>
      <w:pPr>
        <w:pStyle w:val="Textoindependiente"/>
      </w:pPr>
    </w:p>
    <w:bookmarkEnd w:id="97"/>
    <w:bookmarkStart w:id="102" w:name="capacidades-de-arquitectura-del-fna"/>
    <w:p>
      <w:pPr>
        <w:pStyle w:val="Ttulo2"/>
      </w:pPr>
      <w:r>
        <w:t xml:space="preserve">Capacidades de Arquitectura del FNA</w:t>
      </w:r>
    </w:p>
    <w:p>
      <w:pPr>
        <w:pStyle w:val="FirstParagraph"/>
      </w:pPr>
      <w:r>
        <w:t xml:space="preserve">De la mano del proceso de gobierno SOA del FNA,</w:t>
      </w:r>
      <w:r>
        <w:t xml:space="preserve"> </w:t>
      </w:r>
      <w:r>
        <w:t xml:space="preserve">[</w:t>
      </w:r>
      <w:hyperlink w:anchor="ref-hQTPO0iI">
        <w:r>
          <w:rPr>
            <w:rStyle w:val="Hipervnculo"/>
          </w:rPr>
          <w:t xml:space="preserve">1</w:t>
        </w:r>
      </w:hyperlink>
      <w:r>
        <w:t xml:space="preserve">]</w:t>
      </w:r>
      <w:r>
        <w:t xml:space="preserve">, presentamos estas capacidades que son equiparables con la arquitectura SOA del Fondo Nacional.</w:t>
      </w:r>
    </w:p>
    <w:p>
      <w:pPr>
        <w:numPr>
          <w:ilvl w:val="0"/>
          <w:numId w:val="1012"/>
        </w:numPr>
        <w:pStyle w:val="Compact"/>
      </w:pPr>
      <w:r>
        <w:t xml:space="preserve">CAP1. Realizar e implementar estrategias y entregables de la arquitectura de referencia SOA</w:t>
      </w:r>
    </w:p>
    <w:p>
      <w:pPr>
        <w:numPr>
          <w:ilvl w:val="0"/>
          <w:numId w:val="1012"/>
        </w:numPr>
        <w:pStyle w:val="Compact"/>
      </w:pPr>
      <w:r>
        <w:t xml:space="preserve">CAP2. Relacionar la arquitectura de referencia SOA y vincular distintas perspectivas del negocio</w:t>
      </w:r>
    </w:p>
    <w:p>
      <w:pPr>
        <w:numPr>
          <w:ilvl w:val="0"/>
          <w:numId w:val="1012"/>
        </w:numPr>
        <w:pStyle w:val="Compact"/>
      </w:pPr>
      <w:r>
        <w:t xml:space="preserve">CAP3. Ejecutar hojas de ruta de cierre de brechas de la arquitectura SOA del FNA</w:t>
      </w:r>
    </w:p>
    <w:p>
      <w:pPr>
        <w:numPr>
          <w:ilvl w:val="0"/>
          <w:numId w:val="1012"/>
        </w:numPr>
        <w:pStyle w:val="Compact"/>
      </w:pPr>
      <w:r>
        <w:t xml:space="preserve">CAP4. Trazabilidad de los activos y productos de TI con los productos y decisiones de negocio del FNA</w:t>
      </w:r>
    </w:p>
    <w:p>
      <w:pPr>
        <w:numPr>
          <w:ilvl w:val="0"/>
          <w:numId w:val="1012"/>
        </w:numPr>
        <w:pStyle w:val="Compact"/>
      </w:pPr>
      <w:r>
        <w:t xml:space="preserve">CAP5. Realizar análisis de impacto, riesgos, costo beneficio, y capacidad en uso</w:t>
      </w:r>
    </w:p>
    <w:p>
      <w:pPr>
        <w:numPr>
          <w:ilvl w:val="0"/>
          <w:numId w:val="1012"/>
        </w:numPr>
        <w:pStyle w:val="Compact"/>
      </w:pPr>
      <w:r>
        <w:t xml:space="preserve">CAP6. Emitir y gestionar documentación técnica estándares para proveedores, Comunicación y Planeación del FNA</w:t>
      </w:r>
    </w:p>
    <w:p>
      <w:pPr>
        <w:numPr>
          <w:ilvl w:val="0"/>
          <w:numId w:val="1012"/>
        </w:numPr>
        <w:pStyle w:val="Compact"/>
      </w:pPr>
      <w:r>
        <w:t xml:space="preserve">CAP7. Emitir y actualizar el marco de trabajo de gobierno SOA del FNA</w:t>
      </w:r>
    </w:p>
    <w:p>
      <w:pPr>
        <w:pStyle w:val="FirstParagraph"/>
      </w:pPr>
    </w:p>
    <w:bookmarkStart w:id="0" w:name="fig:capacidades-neg.png"/>
    <w:p>
      <w:pPr>
        <w:pStyle w:val="CaptionedFigure"/>
      </w:pPr>
      <w:bookmarkStart w:id="101" w:name="fig:capacidades-neg.png"/>
      <w:r>
        <w:drawing>
          <wp:inline>
            <wp:extent cx="5600700" cy="4485868"/>
            <wp:effectExtent b="0" l="0" r="0" t="0"/>
            <wp:docPr descr="Imagen 10: Capacidades de arquitectura del FNA provenientes de los procesos de arquitectura propuestos." title="" id="99" name="Picture"/>
            <a:graphic>
              <a:graphicData uri="http://schemas.openxmlformats.org/drawingml/2006/picture">
                <pic:pic>
                  <pic:nvPicPr>
                    <pic:cNvPr descr="images/capacidades-arq.png" id="100" name="Picture"/>
                    <pic:cNvPicPr>
                      <a:picLocks noChangeArrowheads="1" noChangeAspect="1"/>
                    </pic:cNvPicPr>
                  </pic:nvPicPr>
                  <pic:blipFill>
                    <a:blip r:embed="rId98"/>
                    <a:stretch>
                      <a:fillRect/>
                    </a:stretch>
                  </pic:blipFill>
                  <pic:spPr bwMode="auto">
                    <a:xfrm>
                      <a:off x="0" y="0"/>
                      <a:ext cx="5600700" cy="4485868"/>
                    </a:xfrm>
                    <a:prstGeom prst="rect">
                      <a:avLst/>
                    </a:prstGeom>
                    <a:noFill/>
                    <a:ln w="9525">
                      <a:noFill/>
                      <a:headEnd/>
                      <a:tailEnd/>
                    </a:ln>
                  </pic:spPr>
                </pic:pic>
              </a:graphicData>
            </a:graphic>
          </wp:inline>
        </w:drawing>
      </w:r>
      <w:bookmarkEnd w:id="101"/>
    </w:p>
    <w:p>
      <w:pPr>
        <w:pStyle w:val="ImageCaption"/>
      </w:pPr>
      <w:r>
        <w:t xml:space="preserve">Imagen 10: Capacidades de arquitectura del FNA provenientes de los procesos de arquitectura propuestos.</w:t>
      </w:r>
    </w:p>
    <w:bookmarkEnd w:id="0"/>
    <w:p>
      <w:pPr>
        <w:pStyle w:val="Textoindependiente"/>
      </w:pPr>
      <w:r>
        <w:rPr>
          <w:iCs/>
          <w:i/>
        </w:rPr>
        <w:t xml:space="preserve">Fuente: Repositorio de arquitectura, línea base del FNA. PR12 de E-Service Fase II.</w:t>
      </w:r>
    </w:p>
    <w:bookmarkEnd w:id="102"/>
    <w:bookmarkStart w:id="107" w:name="Xb8ee99e5dcd3b1fcc29c7619b321426e13145d4"/>
    <w:p>
      <w:pPr>
        <w:pStyle w:val="Ttulo2"/>
      </w:pPr>
      <w:r>
        <w:t xml:space="preserve">Modelo de Adopción de Arquitectura del FNA</w:t>
      </w:r>
    </w:p>
    <w:p>
      <w:pPr>
        <w:pStyle w:val="FirstParagraph"/>
      </w:pPr>
      <w:r>
        <w:t xml:space="preserve">Al cruzar las capacidades con los estadios de adopción descritos arriba obtenemos lo que llamamos el modelo de adopción basado en capacidades de la arquitectura de referencia. Este modelo describe que las capacidades de arquitectura SOA propuestas arriba (E-Services), se desarrollan y fortalecen de la expansión y el uso de las arquitecturas dentro del FNA. El modelo plantea además que esto debe suceder gradual, cuantitativa y gestionadamente, lo cual resultará por fin en el ascenso a los estadios de adopción de arquitectura.</w:t>
      </w:r>
    </w:p>
    <w:bookmarkStart w:id="0" w:name="fig:adopcion1.png"/>
    <w:p>
      <w:pPr>
        <w:pStyle w:val="CaptionedFigure"/>
      </w:pPr>
      <w:bookmarkStart w:id="106" w:name="fig:adopcion1.png"/>
      <w:r>
        <w:drawing>
          <wp:inline>
            <wp:extent cx="5600700" cy="3039404"/>
            <wp:effectExtent b="0" l="0" r="0" t="0"/>
            <wp:docPr descr="Imagen 11: Relación de desarrollo de las capacidades y la adopción de las arquitecturas de referencia SOA en el FNA." title="" id="104" name="Picture"/>
            <a:graphic>
              <a:graphicData uri="http://schemas.openxmlformats.org/drawingml/2006/picture">
                <pic:pic>
                  <pic:nvPicPr>
                    <pic:cNvPr descr="images/adopcion1.png" id="105" name="Picture"/>
                    <pic:cNvPicPr>
                      <a:picLocks noChangeArrowheads="1" noChangeAspect="1"/>
                    </pic:cNvPicPr>
                  </pic:nvPicPr>
                  <pic:blipFill>
                    <a:blip r:embed="rId103"/>
                    <a:stretch>
                      <a:fillRect/>
                    </a:stretch>
                  </pic:blipFill>
                  <pic:spPr bwMode="auto">
                    <a:xfrm>
                      <a:off x="0" y="0"/>
                      <a:ext cx="5600700" cy="3039404"/>
                    </a:xfrm>
                    <a:prstGeom prst="rect">
                      <a:avLst/>
                    </a:prstGeom>
                    <a:noFill/>
                    <a:ln w="9525">
                      <a:noFill/>
                      <a:headEnd/>
                      <a:tailEnd/>
                    </a:ln>
                  </pic:spPr>
                </pic:pic>
              </a:graphicData>
            </a:graphic>
          </wp:inline>
        </w:drawing>
      </w:r>
      <w:bookmarkEnd w:id="106"/>
    </w:p>
    <w:p>
      <w:pPr>
        <w:pStyle w:val="ImageCaption"/>
      </w:pPr>
      <w:r>
        <w:t xml:space="preserve">Imagen 11: Relación de desarrollo de las capacidades y la adopción de las arquitecturas de referencia SOA en el FNA.</w:t>
      </w:r>
    </w:p>
    <w:bookmarkEnd w:id="0"/>
    <w:p>
      <w:pPr>
        <w:pStyle w:val="Textoindependiente"/>
      </w:pPr>
      <w:r>
        <w:rPr>
          <w:iCs/>
          <w:i/>
        </w:rPr>
        <w:t xml:space="preserve">Fuente: elaboración propia.</w:t>
      </w:r>
    </w:p>
    <w:p>
      <w:pPr>
        <w:pStyle w:val="Textoindependiente"/>
      </w:pPr>
    </w:p>
    <w:p>
      <w:pPr>
        <w:pStyle w:val="Textoindependiente"/>
      </w:pPr>
      <w:r>
        <w:t xml:space="preserve">En resumen, el modelo propone que el grado de desarrollo de las capacidades determina a su vez el grado de adopción de las arquitecturas de referencia del FNA. Funciona también en el sentido inverso: el modelo informa sobre las capacidades que necesitan ser desarrolladas para aumentar los niveles de adopción de las arquitecturas en el FNA.</w:t>
      </w:r>
    </w:p>
    <w:p>
      <w:pPr>
        <w:pStyle w:val="SourceCode"/>
      </w:pPr>
      <w:r>
        <w:rPr>
          <w:rStyle w:val="VerbatimChar"/>
        </w:rPr>
        <w:t xml:space="preserve">Importante. El desarrollo de las capacidades de arquitectura es uno de los objetivos primos del Gobierno SOA planteado por este ejercicio (ver proyecto 1, Gobierno SOA del FNA).</w:t>
      </w:r>
    </w:p>
    <w:p>
      <w:pPr>
        <w:pStyle w:val="FirstParagraph"/>
      </w:pPr>
    </w:p>
    <w:p>
      <w:r>
        <w:br w:type="page"/>
      </w:r>
    </w:p>
    <w:bookmarkEnd w:id="107"/>
    <w:bookmarkEnd w:id="108"/>
    <w:bookmarkStart w:id="120" w:name="referencias"/>
    <w:p>
      <w:pPr>
        <w:pStyle w:val="Ttulo1"/>
      </w:pPr>
      <w:r>
        <w:t xml:space="preserve">Referencias</w:t>
      </w:r>
    </w:p>
    <w:bookmarkStart w:id="119" w:name="refs"/>
    <w:p>
      <w:pPr>
        <w:pStyle w:val="Bibliography"/>
      </w:pPr>
      <w:r>
        <w:t xml:space="preserve">[</w:t>
      </w:r>
      <w:hyperlink w:anchor="ref-19ZPD5YjC">
        <w:r>
          <w:rPr>
            <w:rStyle w:val="Hipervnculo"/>
          </w:rPr>
          <w:t xml:space="preserve">2</w:t>
        </w:r>
      </w:hyperlink>
      <w:r>
        <w:t xml:space="preserve">]</w:t>
      </w:r>
      <w:r>
        <w:t xml:space="preserve"> </w:t>
      </w:r>
      <w:r>
        <w:t xml:space="preserve">[</w:t>
      </w:r>
      <w:hyperlink w:anchor="ref-hQTPO0iI">
        <w:r>
          <w:rPr>
            <w:rStyle w:val="Hipervnculo"/>
          </w:rPr>
          <w:t xml:space="preserve">1</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110" w:name="ref-hQTPO0iI"/>
    <w:p>
      <w:pPr>
        <w:pStyle w:val="Bibliography"/>
      </w:pPr>
      <w:r>
        <w:t xml:space="preserve">1.</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109">
        <w:r>
          <w:rPr>
            <w:rStyle w:val="Hipervnculo"/>
          </w:rPr>
          <w:t xml:space="preserve">https://hwong23.github.io/fna-devdoc-f1/v/6497aef0f15c3591f0728e4c42cb2c26c13b43aa/</w:t>
        </w:r>
      </w:hyperlink>
    </w:p>
    <w:bookmarkEnd w:id="110"/>
    <w:bookmarkStart w:id="111" w:name="ref-19ZPD5YjC"/>
    <w:p>
      <w:pPr>
        <w:pStyle w:val="Bibliography"/>
      </w:pPr>
      <w:r>
        <w:t xml:space="preserve">2.</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109">
        <w:r>
          <w:rPr>
            <w:rStyle w:val="Hipervnculo"/>
          </w:rPr>
          <w:t xml:space="preserve">https://hwong23.github.io/fna-devdoc-f1/v/6497aef0f15c3591f0728e4c42cb2c26c13b43aa/</w:t>
        </w:r>
      </w:hyperlink>
    </w:p>
    <w:bookmarkEnd w:id="111"/>
    <w:bookmarkStart w:id="112"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109">
        <w:r>
          <w:rPr>
            <w:rStyle w:val="Hipervnculo"/>
          </w:rPr>
          <w:t xml:space="preserve">https://hwong23.github.io/fna-devdoc-f1/v/6497aef0f15c3591f0728e4c42cb2c26c13b43aa/</w:t>
        </w:r>
      </w:hyperlink>
    </w:p>
    <w:bookmarkEnd w:id="112"/>
    <w:bookmarkStart w:id="114"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113">
        <w:r>
          <w:rPr>
            <w:rStyle w:val="Hipervnculo"/>
          </w:rPr>
          <w:t xml:space="preserve">https://pubs.opengroup.org/architecture/togaf9-doc/arch/chap27.html</w:t>
        </w:r>
      </w:hyperlink>
    </w:p>
    <w:bookmarkEnd w:id="114"/>
    <w:bookmarkStart w:id="115"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113">
        <w:r>
          <w:rPr>
            <w:rStyle w:val="Hipervnculo"/>
          </w:rPr>
          <w:t xml:space="preserve">https://pubs.opengroup.org/architecture/togaf9-doc/arch/chap27.html</w:t>
        </w:r>
      </w:hyperlink>
    </w:p>
    <w:bookmarkEnd w:id="115"/>
    <w:bookmarkStart w:id="117"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116">
        <w:r>
          <w:rPr>
            <w:rStyle w:val="Hipervnculo"/>
          </w:rPr>
          <w:t xml:space="preserve">https://hwong23.github.io/fna-dd-f2-e1/</w:t>
        </w:r>
      </w:hyperlink>
    </w:p>
    <w:bookmarkEnd w:id="117"/>
    <w:bookmarkStart w:id="118"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116">
        <w:r>
          <w:rPr>
            <w:rStyle w:val="Hipervnculo"/>
          </w:rPr>
          <w:t xml:space="preserve">https://hwong23.github.io/fna-dd-f2-e1/</w:t>
        </w:r>
      </w:hyperlink>
    </w:p>
    <w:bookmarkEnd w:id="118"/>
    <w:bookmarkEnd w:id="119"/>
    <w:bookmarkEnd w:id="1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4" Target="media/rId54.png" /><Relationship Type="http://schemas.openxmlformats.org/officeDocument/2006/relationships/image" Id="rId46" Target="media/rId46.png" /><Relationship Type="http://schemas.openxmlformats.org/officeDocument/2006/relationships/image" Id="rId103" Target="media/rId103.png" /><Relationship Type="http://schemas.openxmlformats.org/officeDocument/2006/relationships/image" Id="rId89" Target="media/rId89.png" /><Relationship Type="http://schemas.openxmlformats.org/officeDocument/2006/relationships/image" Id="rId98" Target="media/rId98.png" /><Relationship Type="http://schemas.openxmlformats.org/officeDocument/2006/relationships/image" Id="rId93" Target="media/rId93.png" /><Relationship Type="http://schemas.openxmlformats.org/officeDocument/2006/relationships/image" Id="rId62" Target="media/rId62.png" /><Relationship Type="http://schemas.openxmlformats.org/officeDocument/2006/relationships/image" Id="rId74" Target="media/rId74.png" /><Relationship Type="http://schemas.openxmlformats.org/officeDocument/2006/relationships/image" Id="rId37" Target="media/rId37.png" /><Relationship Type="http://schemas.openxmlformats.org/officeDocument/2006/relationships/hyperlink" Id="rId69" Target="N003e.Cat&#225;logodeServiciosFNA-3.md" TargetMode="External" /><Relationship Type="http://schemas.openxmlformats.org/officeDocument/2006/relationships/hyperlink" Id="rId66" Target="N003e.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116" Target="https://hwong23.github.io/fna-dd-f2-e1/" TargetMode="External" /><Relationship Type="http://schemas.openxmlformats.org/officeDocument/2006/relationships/hyperlink" Id="rId20" Target="https://hwong23.github.io/fna-dd-f2-pry2-e2/v/fb6fcf232b248141f6dcab6a5133c19bba9f293e/" TargetMode="External" /><Relationship Type="http://schemas.openxmlformats.org/officeDocument/2006/relationships/hyperlink" Id="rId109" Target="https://hwong23.github.io/fna-devdoc-f1/v/6497aef0f15c3591f0728e4c42cb2c26c13b43aa/" TargetMode="External" /><Relationship Type="http://schemas.openxmlformats.org/officeDocument/2006/relationships/hyperlink" Id="rId113" Target="https://pubs.opengroup.org/architecture/togaf9-doc/arch/chap27.html" TargetMode="External" /><Relationship Type="http://schemas.openxmlformats.org/officeDocument/2006/relationships/hyperlink" Id="rId78" Target="https://stefaninilatam.sharepoint.com/:f:/r/sites/PROYECTOARQUITECTURAE-SERVICEFNA/Documentos%20compartidos/General/Repositorio%20SOA/Modelos?csf=1&amp;web=1&amp;e=LSEm4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onenote:#N001d.sharepoint.com" TargetMode="External" /><Relationship Type="http://schemas.openxmlformats.org/officeDocument/2006/relationships/hyperlink" Id="rId42"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69" Target="N003e.Cat&#225;logodeServiciosFNA-3.md" TargetMode="External" /><Relationship Type="http://schemas.openxmlformats.org/officeDocument/2006/relationships/hyperlink" Id="rId66" Target="N003e.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116" Target="https://hwong23.github.io/fna-dd-f2-e1/" TargetMode="External" /><Relationship Type="http://schemas.openxmlformats.org/officeDocument/2006/relationships/hyperlink" Id="rId20" Target="https://hwong23.github.io/fna-dd-f2-pry2-e2/v/fb6fcf232b248141f6dcab6a5133c19bba9f293e/" TargetMode="External" /><Relationship Type="http://schemas.openxmlformats.org/officeDocument/2006/relationships/hyperlink" Id="rId109" Target="https://hwong23.github.io/fna-devdoc-f1/v/6497aef0f15c3591f0728e4c42cb2c26c13b43aa/" TargetMode="External" /><Relationship Type="http://schemas.openxmlformats.org/officeDocument/2006/relationships/hyperlink" Id="rId113" Target="https://pubs.opengroup.org/architecture/togaf9-doc/arch/chap27.html" TargetMode="External" /><Relationship Type="http://schemas.openxmlformats.org/officeDocument/2006/relationships/hyperlink" Id="rId78" Target="https://stefaninilatam.sharepoint.com/:f:/r/sites/PROYECTOARQUITECTURAE-SERVICEFNA/Documentos%20compartidos/General/Repositorio%20SOA/Modelos?csf=1&amp;web=1&amp;e=LSEm4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onenote:#N001d.sharepoint.com" TargetMode="External" /><Relationship Type="http://schemas.openxmlformats.org/officeDocument/2006/relationships/hyperlink" Id="rId42"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2023-08-10T16:11:34Z</dcterms:created>
  <dcterms:modified xsi:type="dcterms:W3CDTF">2023-08-10T16:11:34Z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2023-08-10</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prnombre">
    <vt:lpwstr>Administración de las transiciones hacia la arquitectura versión 2.0</vt:lpwstr>
  </property>
  <property fmtid="{D5CDD505-2E9C-101B-9397-08002B2CF9AE}" pid="19" name="references">
    <vt:lpwstr/>
  </property>
  <property fmtid="{D5CDD505-2E9C-101B-9397-08002B2CF9AE}" pid="20" name="tablenos-caption-name">
    <vt:lpwstr>Tabla</vt:lpwstr>
  </property>
</Properties>
</file>