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4.png" ContentType="image/png"/>
  <Override PartName="/word/media/rId46.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E-Service</w:t>
      </w:r>
      <w:r>
        <w:t xml:space="preserve"> </w:t>
      </w:r>
      <w:r>
        <w:t xml:space="preserve">Etapa</w:t>
      </w:r>
      <w:r>
        <w:t xml:space="preserve"> </w:t>
      </w:r>
      <w:r>
        <w:t xml:space="preserve">2.</w:t>
      </w:r>
      <w:r>
        <w:t xml:space="preserve"> </w:t>
      </w:r>
      <w:r>
        <w:t xml:space="preserve">Arquitectura</w:t>
      </w:r>
      <w:r>
        <w:t xml:space="preserve"> </w:t>
      </w:r>
      <w:r>
        <w:t xml:space="preserve">de</w:t>
      </w:r>
      <w:r>
        <w:t xml:space="preserve"> </w:t>
      </w:r>
      <w:r>
        <w:t xml:space="preserve">Referencia</w:t>
      </w:r>
      <w:r>
        <w:t xml:space="preserve"> </w:t>
      </w:r>
      <w:r>
        <w:t xml:space="preserve">SOA</w:t>
      </w:r>
      <w:r>
        <w:t xml:space="preserve"> </w:t>
      </w:r>
      <w:r>
        <w:t xml:space="preserve">2.0</w:t>
      </w:r>
      <w:r>
        <w:t xml:space="preserve"> </w:t>
      </w:r>
      <w:r>
        <w:t xml:space="preserve">del</w:t>
      </w:r>
      <w:r>
        <w:t xml:space="preserve"> </w:t>
      </w:r>
      <w:r>
        <w:t xml:space="preserve">FNA</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STEF@fd4b453</w:t>
        </w:r>
      </w:hyperlink>
      <w:r>
        <w:t xml:space="preserve"> </w:t>
      </w:r>
      <w:r>
        <w:t xml:space="preserve">del August 4, 2023.</w:t>
      </w:r>
      <w:r>
        <w:t xml:space="preserve"> </w:t>
      </w:r>
    </w:p>
    <w:p>
      <w:pPr>
        <w:pStyle w:val="Textoindependiente"/>
      </w:pPr>
      <w:r>
        <w:t xml:space="preserve">   </w:t>
      </w:r>
      <w:r>
        <w:rPr>
          <w:bCs/>
          <w:b/>
        </w:rPr>
        <w:t xml:space="preserve">Versión</w:t>
      </w:r>
      <w:r>
        <w:t xml:space="preserve"> </w:t>
      </w:r>
      <w:r>
        <w:t xml:space="preserve">del producto 1.fd4b453 de 04 Aug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PR13. Modelado en lenguaje y herramienta de diseño del FNA​ y PR14. Administración de las transiciones hacia la arquitectura versión 2.0, del proyecto Arquitectura de Referencia SOA 2.0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1.fd4b453 del 04 Aug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Aug 2023</w:t>
      </w:r>
    </w:p>
    <w:p>
      <w:pPr>
        <w:pStyle w:val="Textodebloque"/>
      </w:pPr>
      <w:r>
        <w:rPr>
          <w:bCs/>
          <w:b/>
        </w:rPr>
        <w:t xml:space="preserve">Versión</w:t>
      </w:r>
      <w:r>
        <w:t xml:space="preserve"> </w:t>
      </w:r>
      <w:r>
        <w:t xml:space="preserve">1.fd4b453</w:t>
      </w:r>
    </w:p>
    <w:p>
      <w:pPr>
        <w:pStyle w:val="FirstParagraph"/>
      </w:pPr>
    </w:p>
    <w:bookmarkEnd w:id="31"/>
    <w:bookmarkStart w:id="44"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arquitectura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especificaciones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posibilidad de la aplicación de técnicas y creación de productos de ingeniería.</w:t>
      </w:r>
    </w:p>
    <w:bookmarkEnd w:id="32"/>
    <w:bookmarkStart w:id="33" w:name="contenidos-1"/>
    <w:p>
      <w:pPr>
        <w:pStyle w:val="Ttulo2"/>
      </w:pPr>
      <w:r>
        <w:t xml:space="preserve">Contenidos</w:t>
      </w:r>
    </w:p>
    <w:p>
      <w:pPr>
        <w:numPr>
          <w:ilvl w:val="0"/>
          <w:numId w:val="1002"/>
        </w:numPr>
        <w:pStyle w:val="Compact"/>
      </w:pPr>
      <w:r>
        <w:t xml:space="preserve">Análisis de los elementos del modelo de la arquitectura de referencia SOA 2.0 del FNA</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Documentación técnica 0.2 de la arquitectura de referencia SOA</w:t>
      </w:r>
    </w:p>
    <w:p>
      <w:pPr>
        <w:numPr>
          <w:ilvl w:val="0"/>
          <w:numId w:val="1002"/>
        </w:numPr>
        <w:pStyle w:val="Compact"/>
      </w:pPr>
      <w:r>
        <w:t xml:space="preserve">Proceso de mantenimiento de la arquitectura de referencia SOA 2.0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con arquitectura de referencia</w:t>
      </w:r>
    </w:p>
    <w:p>
      <w:pPr>
        <w:numPr>
          <w:ilvl w:val="0"/>
          <w:numId w:val="1003"/>
        </w:numPr>
        <w:pStyle w:val="Compact"/>
      </w:pPr>
      <w:r>
        <w:t xml:space="preserve">Entendimiento del proceso de mantenimiento de la arquitectura de referencia SOA 2.0 del FNA y sus implicaciones</w:t>
      </w:r>
    </w:p>
    <w:p>
      <w:pPr>
        <w:pStyle w:val="FirstParagraph"/>
      </w:pPr>
    </w:p>
    <w:bookmarkEnd w:id="34"/>
    <w:bookmarkStart w:id="36" w:name="X2260ad506a532d59ca3165e327d1d5490ed12e5"/>
    <w:p>
      <w:pPr>
        <w:pStyle w:val="Ttulo2"/>
      </w:pPr>
      <w:r>
        <w:t xml:space="preserve">Repositorio de Arquitectura del FNA, versión 0.1</w:t>
      </w:r>
    </w:p>
    <w:bookmarkStart w:id="0" w:name="fig:2a768834-4a4d-4fe8-a5a6-154708b30b29"/>
    <w:p>
      <w:pPr>
        <w:pStyle w:val="FirstParagraph"/>
      </w:pPr>
      <w:bookmarkStart w:id="35" w:name="fig:"/>
      <w:r>
        <w:t xml:space="preserve">Imagen 1: Artefactos del repositorio de arquitectura del FNA.</w:t>
      </w:r>
      <w:bookmarkEnd w:id="35"/>
    </w:p>
    <w:bookmarkEnd w:id="0"/>
    <w:p>
      <w:pPr>
        <w:pStyle w:val="Textoindependiente"/>
      </w:pPr>
      <w:r>
        <w:rPr>
          <w:iCs/>
          <w:i/>
        </w:rPr>
        <w:t xml:space="preserve">Fuente: Diagnóstico SOA. E-Service (2022).</w:t>
      </w:r>
    </w:p>
    <w:bookmarkEnd w:id="36"/>
    <w:bookmarkStart w:id="43" w:name="modelo-de-implementación-del-pry02"/>
    <w:p>
      <w:pPr>
        <w:pStyle w:val="Ttulo2"/>
      </w:pPr>
      <w:r>
        <w:t xml:space="preserve">Modelo de Implementación del PRY02</w:t>
      </w:r>
    </w:p>
    <w:bookmarkStart w:id="0" w:name="fig:0bcb20a9-e6f8-4d8e-b5dd-e907a14681ec"/>
    <w:p>
      <w:pPr>
        <w:pStyle w:val="CaptionedFigure"/>
      </w:pPr>
      <w:bookmarkStart w:id="40" w:name="fig:"/>
      <w:r>
        <w:drawing>
          <wp:inline>
            <wp:extent cx="5600700" cy="4264411"/>
            <wp:effectExtent b="0" l="0" r="0" t="0"/>
            <wp:docPr descr="Imagen 2: Plan de Implementación del Proyecto Arquitectura de Referencia SOA 2.0 del FNA (PRY02), 2023. Junio 2023 a julio 2023" title="" id="38" name="Picture"/>
            <a:graphic>
              <a:graphicData uri="http://schemas.openxmlformats.org/drawingml/2006/picture">
                <pic:pic>
                  <pic:nvPicPr>
                    <pic:cNvPr descr="images/pry2.png" id="39"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40"/>
    </w:p>
    <w:p>
      <w:pPr>
        <w:pStyle w:val="ImageCaption"/>
      </w:pPr>
      <w:r>
        <w:t xml:space="preserve">Imagen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1.fd4b453</w:t>
            </w:r>
            <w:r>
              <w:t xml:space="preserve"> </w:t>
            </w:r>
            <w:r>
              <w:t xml:space="preserve">del 04 Aug 2023</w:t>
            </w:r>
          </w:p>
        </w:tc>
      </w:tr>
      <w:tr>
        <w:tc>
          <w:tcPr/>
          <w:p>
            <w:pPr>
              <w:pStyle w:val="Compact"/>
              <w:jc w:val="left"/>
            </w:pPr>
            <w:r>
              <w:t xml:space="preserve">Vínculos</w:t>
            </w:r>
          </w:p>
        </w:tc>
        <w:tc>
          <w:tcPr/>
          <w:p>
            <w:pPr>
              <w:pStyle w:val="Compact"/>
              <w:jc w:val="left"/>
            </w:pPr>
            <w:hyperlink r:id="rId41">
              <w:r>
                <w:rPr>
                  <w:rStyle w:val="Hipervnculo"/>
                </w:rPr>
                <w:t xml:space="preserve">Ejecución Plan de Trabajo SOA</w:t>
              </w:r>
            </w:hyperlink>
            <w:r>
              <w:t xml:space="preserve">;</w:t>
            </w:r>
            <w:r>
              <w:t xml:space="preserve"> </w:t>
            </w:r>
            <w:hyperlink r:id="rId42">
              <w:r>
                <w:rPr>
                  <w:rStyle w:val="Hipervnculo"/>
                </w:rPr>
                <w:t xml:space="preserve">Procesos de Negocio FNA</w:t>
              </w:r>
            </w:hyperlink>
          </w:p>
        </w:tc>
      </w:tr>
    </w:tbl>
    <w:p>
      <w:pPr>
        <w:pStyle w:val="Textoindependiente"/>
      </w:pPr>
    </w:p>
    <w:bookmarkEnd w:id="43"/>
    <w:bookmarkEnd w:id="44"/>
    <w:bookmarkStart w:id="61" w:name="X78b97b14da365454992d1752d55f641c02e2a6d"/>
    <w:p>
      <w:pPr>
        <w:pStyle w:val="Ttulo1"/>
      </w:pPr>
      <w:r>
        <w:t xml:space="preserve">Análisis de Elementos Relevantes para la Arquitectura de Referencia SOA 2.0 del FNA</w:t>
      </w:r>
    </w:p>
    <w:bookmarkStart w:id="53" w:name="catálogo-de-servicios-fna-blueprint"/>
    <w:p>
      <w:pPr>
        <w:pStyle w:val="Ttulo2"/>
      </w:pPr>
      <w:r>
        <w:t xml:space="preserve">Catálogo de Servicios FNA (blueprint)</w:t>
      </w:r>
    </w:p>
    <w:bookmarkStart w:id="45"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4"/>
        </w:numPr>
        <w:pStyle w:val="Compact"/>
      </w:pPr>
      <w:r>
        <w:t xml:space="preserve">Desarrollo de nuevos negocios</w:t>
      </w:r>
    </w:p>
    <w:p>
      <w:pPr>
        <w:numPr>
          <w:ilvl w:val="0"/>
          <w:numId w:val="1004"/>
        </w:numPr>
        <w:pStyle w:val="Compact"/>
      </w:pPr>
      <w:r>
        <w:t xml:space="preserve">Gestión de Cliente</w:t>
      </w:r>
    </w:p>
    <w:p>
      <w:pPr>
        <w:numPr>
          <w:ilvl w:val="0"/>
          <w:numId w:val="1004"/>
        </w:numPr>
        <w:pStyle w:val="Compact"/>
      </w:pPr>
      <w:r>
        <w:t xml:space="preserve">Administración de Recursos y Negocio</w:t>
      </w:r>
    </w:p>
    <w:p>
      <w:pPr>
        <w:numPr>
          <w:ilvl w:val="0"/>
          <w:numId w:val="1004"/>
        </w:numPr>
        <w:pStyle w:val="Compact"/>
      </w:pPr>
      <w:r>
        <w:t xml:space="preserve">Entrega de Productos</w:t>
      </w:r>
    </w:p>
    <w:p>
      <w:pPr>
        <w:numPr>
          <w:ilvl w:val="0"/>
          <w:numId w:val="1004"/>
        </w:numPr>
        <w:pStyle w:val="Compact"/>
      </w:pPr>
      <w:r>
        <w:t xml:space="preserve">Servicios de Cuentas</w:t>
      </w:r>
    </w:p>
    <w:p>
      <w:pPr>
        <w:numPr>
          <w:ilvl w:val="0"/>
          <w:numId w:val="1004"/>
        </w:numPr>
        <w:pStyle w:val="Compact"/>
      </w:pPr>
      <w:r>
        <w:t xml:space="preserve">Gestión Financiera</w:t>
      </w:r>
    </w:p>
    <w:p>
      <w:pPr>
        <w:pStyle w:val="FirstParagraph"/>
      </w:pPr>
      <w:r>
        <w:rPr>
          <w:iCs/>
          <w:i/>
        </w:rPr>
        <w:t xml:space="preserve">Fuente: Portafolio de Aplicaciones FNA.</w:t>
      </w:r>
    </w:p>
    <w:p>
      <w:pPr>
        <w:pStyle w:val="Textoindependiente"/>
      </w:pPr>
    </w:p>
    <w:bookmarkEnd w:id="45"/>
    <w:bookmarkStart w:id="52"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f4012503-1e56-4931-982c-cff8ac1e3bb9"/>
    <w:p>
      <w:pPr>
        <w:pStyle w:val="CaptionedFigure"/>
      </w:pPr>
      <w:bookmarkStart w:id="49" w:name="fig:"/>
      <w:r>
        <w:drawing>
          <wp:inline>
            <wp:extent cx="5600700" cy="6526387"/>
            <wp:effectExtent b="0" l="0" r="0" t="0"/>
            <wp:docPr descr="Imagen 3: Capacidades y Servicios SOA (y otras partes de la empresa)" title="" id="47" name="Picture"/>
            <a:graphic>
              <a:graphicData uri="http://schemas.openxmlformats.org/drawingml/2006/picture">
                <pic:pic>
                  <pic:nvPicPr>
                    <pic:cNvPr descr="images/FNA_Arquitectura-Vista%20CapacidadesFNA.png" id="48" name="Picture"/>
                    <pic:cNvPicPr>
                      <a:picLocks noChangeArrowheads="1" noChangeAspect="1"/>
                    </pic:cNvPicPr>
                  </pic:nvPicPr>
                  <pic:blipFill>
                    <a:blip r:embed="rId46"/>
                    <a:stretch>
                      <a:fillRect/>
                    </a:stretch>
                  </pic:blipFill>
                  <pic:spPr bwMode="auto">
                    <a:xfrm>
                      <a:off x="0" y="0"/>
                      <a:ext cx="5600700" cy="6526387"/>
                    </a:xfrm>
                    <a:prstGeom prst="rect">
                      <a:avLst/>
                    </a:prstGeom>
                    <a:noFill/>
                    <a:ln w="9525">
                      <a:noFill/>
                      <a:headEnd/>
                      <a:tailEnd/>
                    </a:ln>
                  </pic:spPr>
                </pic:pic>
              </a:graphicData>
            </a:graphic>
          </wp:inline>
        </w:drawing>
      </w:r>
      <w:bookmarkEnd w:id="49"/>
    </w:p>
    <w:p>
      <w:pPr>
        <w:pStyle w:val="ImageCaption"/>
      </w:pPr>
      <w:r>
        <w:t xml:space="preserve">Imagen 3: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50" w:name="tbl:capacidades-id"/>
    <w:p>
      <w:pPr>
        <w:pStyle w:val="TableCaption"/>
      </w:pPr>
      <w:r>
        <w:t xml:space="preserve">Tabla 1: Servicios SOA del FNA más relevantes según modelos FNA.</w:t>
      </w:r>
      <w:r>
        <w:t xml:space="preserve"> </w:t>
      </w:r>
    </w:p>
    <w:tbl>
      <w:tblPr>
        <w:tblStyle w:val="Table"/>
        <w:tblW w:type="pct" w:w="5000"/>
        <w:tblLook w:firstRow="1" w:lastRow="0" w:firstColumn="0" w:lastColumn="0" w:noHBand="0" w:noVBand="0" w:val="0020"/>
        <w:tblCaption w:val="Tabla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50"/>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51" w:name="tbl:capacidades2-id"/>
    <w:p>
      <w:pPr>
        <w:pStyle w:val="TableCaption"/>
      </w:pPr>
      <w:r>
        <w:t xml:space="preserve">Tabla 2: Las capacidades de mayor importancia para el FNA.</w:t>
      </w:r>
      <w:r>
        <w:t xml:space="preserve"> </w:t>
      </w:r>
    </w:p>
    <w:tbl>
      <w:tblPr>
        <w:tblStyle w:val="Table"/>
        <w:tblW w:type="auto" w:w="0"/>
        <w:tblLook w:firstRow="1" w:lastRow="0" w:firstColumn="0" w:lastColumn="0" w:noHBand="0" w:noVBand="0" w:val="0020"/>
        <w:tblCaption w:val="Tabla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51"/>
    <w:bookmarkEnd w:id="0"/>
    <w:p>
      <w:pPr>
        <w:pStyle w:val="Textoindependiente"/>
      </w:pPr>
      <w:r>
        <w:rPr>
          <w:iCs/>
          <w:i/>
        </w:rPr>
        <w:t xml:space="preserve">Fuente: arquitectura fna.archimate</w:t>
      </w:r>
    </w:p>
    <w:p>
      <w:pPr>
        <w:pStyle w:val="Textoindependiente"/>
      </w:pPr>
    </w:p>
    <w:bookmarkEnd w:id="52"/>
    <w:bookmarkEnd w:id="53"/>
    <w:bookmarkStart w:id="57" w:name="areas-de-negocio-fna"/>
    <w:p>
      <w:pPr>
        <w:pStyle w:val="Ttulo2"/>
      </w:pPr>
      <w:r>
        <w:t xml:space="preserve">Areas de Negocio FNA</w:t>
      </w:r>
    </w:p>
    <w:p>
      <w:pPr>
        <w:pStyle w:val="FirstParagraph"/>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55" name="Picture"/>
            <a:graphic>
              <a:graphicData uri="http://schemas.openxmlformats.org/drawingml/2006/picture">
                <pic:pic>
                  <pic:nvPicPr>
                    <pic:cNvPr descr="images/FNA_Arquitectura-AreasNegocioFNA.png" id="56" name="Picture"/>
                    <pic:cNvPicPr>
                      <a:picLocks noChangeArrowheads="1" noChangeAspect="1"/>
                    </pic:cNvPicPr>
                  </pic:nvPicPr>
                  <pic:blipFill>
                    <a:blip r:embed="rId54"/>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End w:id="57"/>
    <w:bookmarkStart w:id="59" w:name="anexo-1.-áreas-fna-modeladas"/>
    <w:p>
      <w:pPr>
        <w:pStyle w:val="Ttulo2"/>
      </w:pPr>
      <w:r>
        <w:t xml:space="preserve">Anexo 1. Áreas FNA Modeladas</w:t>
      </w:r>
    </w:p>
    <w:bookmarkStart w:id="0" w:name="tbl:modelos1-id"/>
    <w:bookmarkStart w:id="58" w:name="tbl:modelos1-id"/>
    <w:p>
      <w:pPr>
        <w:pStyle w:val="TableCaption"/>
      </w:pPr>
      <w:r>
        <w:t xml:space="preserve">Tabla 3: Áreas de negocio de la Línea Base de Arquitectura (LBAF) del FNA analizadas.</w:t>
      </w:r>
      <w:r>
        <w:t xml:space="preserve"> </w:t>
      </w:r>
    </w:p>
    <w:tbl>
      <w:tblPr>
        <w:tblStyle w:val="Table"/>
        <w:tblW w:type="pct" w:w="5000"/>
        <w:tblLook w:firstRow="1" w:lastRow="0" w:firstColumn="0" w:lastColumn="0" w:noHBand="0" w:noVBand="0" w:val="0020"/>
        <w:tblCaption w:val="Tabla 3: Áreas de negocio de la Línea Base de Arquitectura (LBAF) del FNA analizadas. "/>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bookmarkEnd w:id="58"/>
    <w:bookmarkEnd w:id="0"/>
    <w:p>
      <w:pPr>
        <w:pStyle w:val="Textoindependiente"/>
      </w:pPr>
    </w:p>
    <w:bookmarkEnd w:id="59"/>
    <w:bookmarkStart w:id="60" w:name="anexo-2.-modelos-analizados"/>
    <w:p>
      <w:pPr>
        <w:pStyle w:val="Ttulo2"/>
      </w:pPr>
      <w:r>
        <w:t xml:space="preserve">Anexo 2. Modelos Analizados</w:t>
      </w:r>
    </w:p>
    <w:p>
      <w:pPr>
        <w:numPr>
          <w:ilvl w:val="0"/>
          <w:numId w:val="1005"/>
        </w:numPr>
        <w:pStyle w:val="Compact"/>
      </w:pPr>
      <w:r>
        <w:t xml:space="preserve">2015-06-01 modelo arquitectura togaf - fna banca digital v6.archimate</w:t>
      </w:r>
    </w:p>
    <w:p>
      <w:pPr>
        <w:numPr>
          <w:ilvl w:val="0"/>
          <w:numId w:val="1005"/>
        </w:numPr>
        <w:pStyle w:val="Compact"/>
      </w:pPr>
      <w:r>
        <w:t xml:space="preserve">aa002 - cobis ahorro voluntario.archimate</w:t>
      </w:r>
    </w:p>
    <w:p>
      <w:pPr>
        <w:numPr>
          <w:ilvl w:val="0"/>
          <w:numId w:val="1005"/>
        </w:numPr>
        <w:pStyle w:val="Compact"/>
      </w:pPr>
      <w:r>
        <w:t xml:space="preserve">aa003-cobis cesantias.archimate</w:t>
      </w:r>
    </w:p>
    <w:p>
      <w:pPr>
        <w:numPr>
          <w:ilvl w:val="0"/>
          <w:numId w:val="1005"/>
        </w:numPr>
        <w:pStyle w:val="Compact"/>
      </w:pPr>
      <w:r>
        <w:t xml:space="preserve">aa005-cobis cartera.archimate</w:t>
      </w:r>
    </w:p>
    <w:p>
      <w:pPr>
        <w:numPr>
          <w:ilvl w:val="0"/>
          <w:numId w:val="1005"/>
        </w:numPr>
        <w:pStyle w:val="Compact"/>
      </w:pPr>
      <w:r>
        <w:t xml:space="preserve">aa006-cobis tramites.archimate</w:t>
      </w:r>
    </w:p>
    <w:p>
      <w:pPr>
        <w:numPr>
          <w:ilvl w:val="0"/>
          <w:numId w:val="1005"/>
        </w:numPr>
        <w:pStyle w:val="Compact"/>
      </w:pPr>
      <w:r>
        <w:t xml:space="preserve">aa015-cobis clientes.archimate</w:t>
      </w:r>
    </w:p>
    <w:p>
      <w:pPr>
        <w:numPr>
          <w:ilvl w:val="0"/>
          <w:numId w:val="1005"/>
        </w:numPr>
        <w:pStyle w:val="Compact"/>
      </w:pPr>
      <w:r>
        <w:t xml:space="preserve">aa020-banca virtual.archimate</w:t>
      </w:r>
    </w:p>
    <w:p>
      <w:pPr>
        <w:numPr>
          <w:ilvl w:val="0"/>
          <w:numId w:val="1005"/>
        </w:numPr>
        <w:pStyle w:val="Compact"/>
      </w:pPr>
      <w:r>
        <w:t xml:space="preserve">aa021-fondo en linea.archimate</w:t>
      </w:r>
    </w:p>
    <w:p>
      <w:pPr>
        <w:numPr>
          <w:ilvl w:val="0"/>
          <w:numId w:val="1005"/>
        </w:numPr>
        <w:pStyle w:val="Compact"/>
      </w:pPr>
      <w:r>
        <w:t xml:space="preserve">aa074-fondo en linea personal.archimate</w:t>
      </w:r>
    </w:p>
    <w:p>
      <w:pPr>
        <w:numPr>
          <w:ilvl w:val="0"/>
          <w:numId w:val="1005"/>
        </w:numPr>
        <w:pStyle w:val="Compact"/>
      </w:pPr>
      <w:r>
        <w:rPr>
          <w:bCs/>
          <w:b/>
        </w:rPr>
        <w:t xml:space="preserve">aa091-cobis cx.archimate</w:t>
      </w:r>
    </w:p>
    <w:p>
      <w:pPr>
        <w:numPr>
          <w:ilvl w:val="0"/>
          <w:numId w:val="1005"/>
        </w:numPr>
        <w:pStyle w:val="Compact"/>
      </w:pPr>
      <w:r>
        <w:rPr>
          <w:bCs/>
          <w:b/>
        </w:rPr>
        <w:t xml:space="preserve">ae_fna.archimate</w:t>
      </w:r>
    </w:p>
    <w:p>
      <w:pPr>
        <w:numPr>
          <w:ilvl w:val="0"/>
          <w:numId w:val="1005"/>
        </w:numPr>
        <w:pStyle w:val="Compact"/>
      </w:pPr>
      <w:r>
        <w:rPr>
          <w:bCs/>
          <w:b/>
        </w:rPr>
        <w:t xml:space="preserve">ae_fna_as_is.archimate</w:t>
      </w:r>
    </w:p>
    <w:p>
      <w:pPr>
        <w:numPr>
          <w:ilvl w:val="0"/>
          <w:numId w:val="1005"/>
        </w:numPr>
        <w:pStyle w:val="Compact"/>
      </w:pPr>
      <w:r>
        <w:t xml:space="preserve">ae_fna_tobe.archimate</w:t>
      </w:r>
    </w:p>
    <w:p>
      <w:pPr>
        <w:numPr>
          <w:ilvl w:val="0"/>
          <w:numId w:val="1005"/>
        </w:numPr>
        <w:pStyle w:val="Compact"/>
      </w:pPr>
      <w:r>
        <w:t xml:space="preserve">arquitectura banca digital v4.archimate</w:t>
      </w:r>
    </w:p>
    <w:p>
      <w:pPr>
        <w:numPr>
          <w:ilvl w:val="0"/>
          <w:numId w:val="1005"/>
        </w:numPr>
        <w:pStyle w:val="Compact"/>
      </w:pPr>
      <w:r>
        <w:rPr>
          <w:bCs/>
          <w:b/>
        </w:rPr>
        <w:t xml:space="preserve">arquitectura fna.archimate</w:t>
      </w:r>
    </w:p>
    <w:p>
      <w:pPr>
        <w:numPr>
          <w:ilvl w:val="0"/>
          <w:numId w:val="1005"/>
        </w:numPr>
        <w:pStyle w:val="Compact"/>
      </w:pPr>
      <w:r>
        <w:t xml:space="preserve">arquitectura movil_v1.archimate</w:t>
      </w:r>
    </w:p>
    <w:p>
      <w:pPr>
        <w:numPr>
          <w:ilvl w:val="0"/>
          <w:numId w:val="1005"/>
        </w:numPr>
        <w:pStyle w:val="Compact"/>
      </w:pPr>
      <w:r>
        <w:t xml:space="preserve">arquitectura movil_v2.archimate</w:t>
      </w:r>
    </w:p>
    <w:p>
      <w:pPr>
        <w:numPr>
          <w:ilvl w:val="0"/>
          <w:numId w:val="1005"/>
        </w:numPr>
        <w:pStyle w:val="Compact"/>
      </w:pPr>
      <w:r>
        <w:t xml:space="preserve">fna_proyectos v2.0.archimate</w:t>
      </w:r>
    </w:p>
    <w:p>
      <w:pPr>
        <w:numPr>
          <w:ilvl w:val="0"/>
          <w:numId w:val="1005"/>
        </w:numPr>
        <w:pStyle w:val="Compact"/>
      </w:pPr>
      <w:r>
        <w:t xml:space="preserve">information_architecture_bi_ba_md_archixml.archimate</w:t>
      </w:r>
    </w:p>
    <w:p>
      <w:pPr>
        <w:numPr>
          <w:ilvl w:val="0"/>
          <w:numId w:val="1005"/>
        </w:numPr>
        <w:pStyle w:val="Compact"/>
      </w:pPr>
      <w:r>
        <w:t xml:space="preserve">ivr.archimate</w:t>
      </w:r>
    </w:p>
    <w:p>
      <w:pPr>
        <w:numPr>
          <w:ilvl w:val="0"/>
          <w:numId w:val="1005"/>
        </w:numPr>
        <w:pStyle w:val="Compact"/>
      </w:pPr>
      <w:r>
        <w:t xml:space="preserve">pa0003-pki.archimate</w:t>
      </w:r>
    </w:p>
    <w:p>
      <w:pPr>
        <w:numPr>
          <w:ilvl w:val="0"/>
          <w:numId w:val="1005"/>
        </w:numPr>
        <w:pStyle w:val="Compact"/>
      </w:pPr>
      <w:r>
        <w:t xml:space="preserve">workmanager.archimate</w:t>
      </w:r>
    </w:p>
    <w:p>
      <w:pPr>
        <w:pStyle w:val="FirstParagraph"/>
      </w:pPr>
      <w:r>
        <w:t xml:space="preserve">Table: Modelos de la Línea Base de Arquitectura (LBAF) del FNA analizados. {#tbl:modelos2-id}</w:t>
      </w:r>
    </w:p>
    <w:p>
      <w:pPr>
        <w:pStyle w:val="Textoindependiente"/>
      </w:pPr>
    </w:p>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Aug 2023</w:t>
      </w:r>
    </w:p>
    <w:p>
      <w:pPr>
        <w:pStyle w:val="Textodebloque"/>
      </w:pPr>
      <w:r>
        <w:rPr>
          <w:bCs/>
          <w:b/>
        </w:rPr>
        <w:t xml:space="preserve">Versión</w:t>
      </w:r>
      <w:r>
        <w:t xml:space="preserve"> </w:t>
      </w:r>
      <w:r>
        <w:t xml:space="preserve">1.fd4b453</w:t>
      </w:r>
    </w:p>
    <w:p>
      <w:pPr>
        <w:pStyle w:val="FirstParagraph"/>
      </w:pPr>
    </w:p>
    <w:bookmarkEnd w:id="60"/>
    <w:bookmarkEnd w:id="61"/>
    <w:bookmarkStart w:id="69"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62" w:name="justificación-1"/>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62"/>
    <w:bookmarkStart w:id="63" w:name="contenidos-2"/>
    <w:p>
      <w:pPr>
        <w:pStyle w:val="Ttulo2"/>
      </w:pPr>
      <w:r>
        <w:t xml:space="preserve">Contenidos</w:t>
      </w:r>
    </w:p>
    <w:p>
      <w:pPr>
        <w:numPr>
          <w:ilvl w:val="0"/>
          <w:numId w:val="1006"/>
        </w:numPr>
        <w:pStyle w:val="Compact"/>
      </w:pPr>
      <w:r>
        <w:t xml:space="preserve">Posibles estadios de adopción y madurez de las arquitecturas para el FNA</w:t>
      </w:r>
    </w:p>
    <w:p>
      <w:pPr>
        <w:numPr>
          <w:ilvl w:val="0"/>
          <w:numId w:val="1006"/>
        </w:numPr>
        <w:pStyle w:val="Compact"/>
      </w:pPr>
      <w:r>
        <w:t xml:space="preserve">Relación de las transiciones con las capacidades de negocio y tecnología del FNA</w:t>
      </w:r>
    </w:p>
    <w:p>
      <w:pPr>
        <w:numPr>
          <w:ilvl w:val="0"/>
          <w:numId w:val="1006"/>
        </w:numPr>
        <w:pStyle w:val="Compact"/>
      </w:pPr>
      <w:r>
        <w:t xml:space="preserve">Relación de las transiciones con la efectividad (madurez) de los servicios SOA del FNA</w:t>
      </w:r>
    </w:p>
    <w:p>
      <w:pPr>
        <w:numPr>
          <w:ilvl w:val="0"/>
          <w:numId w:val="1006"/>
        </w:numPr>
        <w:pStyle w:val="Compact"/>
      </w:pPr>
      <w:r>
        <w:t xml:space="preserve">Métodos del FNA para la creación y gestión de arquitecturas de transición</w:t>
      </w:r>
    </w:p>
    <w:p>
      <w:pPr>
        <w:numPr>
          <w:ilvl w:val="0"/>
          <w:numId w:val="1006"/>
        </w:numPr>
        <w:pStyle w:val="Compact"/>
      </w:pPr>
      <w:r>
        <w:t xml:space="preserve">Criterios y métodos de evaluación de arquitecturas de transición</w:t>
      </w:r>
    </w:p>
    <w:p>
      <w:pPr>
        <w:pStyle w:val="FirstParagraph"/>
      </w:pPr>
    </w:p>
    <w:bookmarkEnd w:id="63"/>
    <w:bookmarkStart w:id="64" w:name="criterios-de-aceptación-1"/>
    <w:p>
      <w:pPr>
        <w:pStyle w:val="Ttulo2"/>
      </w:pPr>
      <w:r>
        <w:t xml:space="preserve">Criterios de Aceptación</w:t>
      </w:r>
    </w:p>
    <w:p>
      <w:pPr>
        <w:numPr>
          <w:ilvl w:val="0"/>
          <w:numId w:val="1007"/>
        </w:numPr>
        <w:pStyle w:val="Compact"/>
      </w:pPr>
      <w:r>
        <w:t xml:space="preserve">Entendimiento de los métodos, tanto de creación de transiciones, como de hoja de rutas para su aplicación en el FNA</w:t>
      </w:r>
    </w:p>
    <w:p>
      <w:pPr>
        <w:numPr>
          <w:ilvl w:val="0"/>
          <w:numId w:val="1007"/>
        </w:numPr>
        <w:pStyle w:val="Compact"/>
      </w:pPr>
      <w:r>
        <w:t xml:space="preserve">Entendimiento del relacionamiento de las capacidades del FNA y los índices de madurez SOA con las arquitecturas de transición</w:t>
      </w:r>
    </w:p>
    <w:p>
      <w:pPr>
        <w:numPr>
          <w:ilvl w:val="0"/>
          <w:numId w:val="1007"/>
        </w:numPr>
        <w:pStyle w:val="Compact"/>
      </w:pPr>
      <w:r>
        <w:t xml:space="preserve">Entendimiento del método para gestionar las arquitecturas de transición del FNA</w:t>
      </w:r>
    </w:p>
    <w:p>
      <w:pPr>
        <w:numPr>
          <w:ilvl w:val="0"/>
          <w:numId w:val="1007"/>
        </w:numPr>
        <w:pStyle w:val="Compact"/>
      </w:pPr>
      <w:r>
        <w:t xml:space="preserve">Entendimiento del rol de la Oficina de Arquitectura en la gestión de las arquitecturas de transición del FNA</w:t>
      </w:r>
    </w:p>
    <w:p>
      <w:pPr>
        <w:pStyle w:val="FirstParagraph"/>
      </w:pPr>
    </w:p>
    <w:bookmarkEnd w:id="64"/>
    <w:bookmarkStart w:id="68" w:name="modelo-de-implementación-del-pry02-1"/>
    <w:p>
      <w:pPr>
        <w:pStyle w:val="Ttulo2"/>
      </w:pPr>
      <w:r>
        <w:t xml:space="preserve">Modelo de Implementación del PRY02</w:t>
      </w:r>
    </w:p>
    <w:bookmarkStart w:id="0" w:name="fig:ebb24d20-8c89-43de-9907-2cfd2a5db757"/>
    <w:p>
      <w:pPr>
        <w:pStyle w:val="CaptionedFigure"/>
      </w:pPr>
      <w:bookmarkStart w:id="67" w:name="fig:"/>
      <w:r>
        <w:drawing>
          <wp:inline>
            <wp:extent cx="5600700" cy="4264411"/>
            <wp:effectExtent b="0" l="0" r="0" t="0"/>
            <wp:docPr descr="Imagen 4: Plan de Implementación del Proyecto Arquitectura de Referencia SOA 2.0 del FNA (PRY02), 2023. Junio 2023 a julio 2023" title="" id="65" name="Picture"/>
            <a:graphic>
              <a:graphicData uri="http://schemas.openxmlformats.org/drawingml/2006/picture">
                <pic:pic>
                  <pic:nvPicPr>
                    <pic:cNvPr descr="images/pry2.png" id="66"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67"/>
    </w:p>
    <w:p>
      <w:pPr>
        <w:pStyle w:val="ImageCaption"/>
      </w:pPr>
      <w:r>
        <w:t xml:space="preserve">Imagen 4: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bookmarkEnd w:id="68"/>
    <w:bookmarkEnd w:id="69"/>
    <w:bookmarkStart w:id="81" w:name="referencias"/>
    <w:p>
      <w:pPr>
        <w:pStyle w:val="Ttulo1"/>
      </w:pPr>
      <w:r>
        <w:t xml:space="preserve">Referencias</w:t>
      </w:r>
    </w:p>
    <w:bookmarkStart w:id="80"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71"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70">
        <w:r>
          <w:rPr>
            <w:rStyle w:val="Hipervnculo"/>
          </w:rPr>
          <w:t xml:space="preserve">https://hwong23.github.io/fna-devdoc-f1/v/6497aef0f15c3591f0728e4c42cb2c26c13b43aa/</w:t>
        </w:r>
      </w:hyperlink>
    </w:p>
    <w:bookmarkEnd w:id="71"/>
    <w:bookmarkStart w:id="72"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70">
        <w:r>
          <w:rPr>
            <w:rStyle w:val="Hipervnculo"/>
          </w:rPr>
          <w:t xml:space="preserve">https://hwong23.github.io/fna-devdoc-f1/v/6497aef0f15c3591f0728e4c42cb2c26c13b43aa/</w:t>
        </w:r>
      </w:hyperlink>
    </w:p>
    <w:bookmarkEnd w:id="72"/>
    <w:bookmarkStart w:id="73"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70">
        <w:r>
          <w:rPr>
            <w:rStyle w:val="Hipervnculo"/>
          </w:rPr>
          <w:t xml:space="preserve">https://hwong23.github.io/fna-devdoc-f1/v/6497aef0f15c3591f0728e4c42cb2c26c13b43aa/</w:t>
        </w:r>
      </w:hyperlink>
    </w:p>
    <w:bookmarkEnd w:id="73"/>
    <w:bookmarkStart w:id="75"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74">
        <w:r>
          <w:rPr>
            <w:rStyle w:val="Hipervnculo"/>
          </w:rPr>
          <w:t xml:space="preserve">https://pubs.opengroup.org/architecture/togaf9-doc/arch/chap27.html</w:t>
        </w:r>
      </w:hyperlink>
    </w:p>
    <w:bookmarkEnd w:id="75"/>
    <w:bookmarkStart w:id="76"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74">
        <w:r>
          <w:rPr>
            <w:rStyle w:val="Hipervnculo"/>
          </w:rPr>
          <w:t xml:space="preserve">https://pubs.opengroup.org/architecture/togaf9-doc/arch/chap27.html</w:t>
        </w:r>
      </w:hyperlink>
    </w:p>
    <w:bookmarkEnd w:id="76"/>
    <w:bookmarkStart w:id="78"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77">
        <w:r>
          <w:rPr>
            <w:rStyle w:val="Hipervnculo"/>
          </w:rPr>
          <w:t xml:space="preserve">https://hwong23.github.io/fna-dd-f2-e1/</w:t>
        </w:r>
      </w:hyperlink>
    </w:p>
    <w:bookmarkEnd w:id="78"/>
    <w:bookmarkStart w:id="79"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77">
        <w:r>
          <w:rPr>
            <w:rStyle w:val="Hipervnculo"/>
          </w:rPr>
          <w:t xml:space="preserve">https://hwong23.github.io/fna-dd-f2-e1/</w:t>
        </w:r>
      </w:hyperlink>
    </w:p>
    <w:bookmarkEnd w:id="79"/>
    <w:bookmarkEnd w:id="80"/>
    <w:bookmarkEnd w:id="8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4" Target="media/rId54.png" /><Relationship Type="http://schemas.openxmlformats.org/officeDocument/2006/relationships/image" Id="rId46" Target="media/rId46.png" /><Relationship Type="http://schemas.openxmlformats.org/officeDocument/2006/relationships/image" Id="rId37" Target="media/rId37.png"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77" Target="https://hwong23.github.io/fna-dd-f2-e1/" TargetMode="External" /><Relationship Type="http://schemas.openxmlformats.org/officeDocument/2006/relationships/hyperlink" Id="rId20" Target="https://hwong23.github.io/fna-dd-f2-pry2-e2/v/fd4b4536a67d516ee67dfbbe98d776a8324f8042/" TargetMode="External" /><Relationship Type="http://schemas.openxmlformats.org/officeDocument/2006/relationships/hyperlink" Id="rId70" Target="https://hwong23.github.io/fna-devdoc-f1/v/6497aef0f15c3591f0728e4c42cb2c26c13b43aa/" TargetMode="External" /><Relationship Type="http://schemas.openxmlformats.org/officeDocument/2006/relationships/hyperlink" Id="rId74"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onenote:#N001d.sharepoint.com" TargetMode="External" /><Relationship Type="http://schemas.openxmlformats.org/officeDocument/2006/relationships/hyperlink" Id="rId42"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77" Target="https://hwong23.github.io/fna-dd-f2-e1/" TargetMode="External" /><Relationship Type="http://schemas.openxmlformats.org/officeDocument/2006/relationships/hyperlink" Id="rId20" Target="https://hwong23.github.io/fna-dd-f2-pry2-e2/v/fd4b4536a67d516ee67dfbbe98d776a8324f8042/" TargetMode="External" /><Relationship Type="http://schemas.openxmlformats.org/officeDocument/2006/relationships/hyperlink" Id="rId70" Target="https://hwong23.github.io/fna-devdoc-f1/v/6497aef0f15c3591f0728e4c42cb2c26c13b43aa/" TargetMode="External" /><Relationship Type="http://schemas.openxmlformats.org/officeDocument/2006/relationships/hyperlink" Id="rId74"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onenote:#N001d.sharepoint.com" TargetMode="External" /><Relationship Type="http://schemas.openxmlformats.org/officeDocument/2006/relationships/hyperlink" Id="rId42"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 Etapa 2. Arquitectura de Referencia SOA 2.0 del FNA</dc:title>
  <dc:creator/>
  <dc:language>en-US</dc:language>
  <cp:keywords>SOA, madurez, gobierno, FNA</cp:keywords>
  <dcterms:created xsi:type="dcterms:W3CDTF">2023-08-04T03:16:58Z</dcterms:created>
  <dcterms:modified xsi:type="dcterms:W3CDTF">2023-08-04T03:16:58Z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2023-08-04</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prnombre">
    <vt:lpwstr>Modelado en lenguaje y herramienta de diseño del FNA​</vt:lpwstr>
  </property>
  <property fmtid="{D5CDD505-2E9C-101B-9397-08002B2CF9AE}" pid="19" name="references">
    <vt:lpwstr/>
  </property>
  <property fmtid="{D5CDD505-2E9C-101B-9397-08002B2CF9AE}" pid="20" name="tablenos-caption-name">
    <vt:lpwstr>Tabla</vt:lpwstr>
  </property>
</Properties>
</file>