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1.c23700b del 02 Aug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Figure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Figure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importantes. Primero, que el ejercicio actual, Arquitectura de Referencia SOA 2.0 del FNA, aunque sea de carácter empresarial, está ubicado en TI, y está condicionada por las restricciones del proyecto presente. Por esta razón, no puede abarcar la completitud de la empresa FNA, sino únicamente las partes seleccionadas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diagnósticos, análisis, procedimientos, a realizar aparecen en forma de trabajo, al final de la vista. Por ejemplo, se deberán realizar para producir una solución dentro de los términos del proyecto, que en este caso, es el de Gobierno SOA.</w:t>
      </w:r>
    </w:p>
    <w:p>
      <w:pPr>
        <w:pStyle w:val="Textoindependiente"/>
      </w:pPr>
      <w:r>
        <w:t xml:space="preserve">Tercero y último, la vista de segmento FNA del proyecto facilita la justificación y explicación de los criterios con los que se realizó la inclusión de las partes de la emprasa que esta incluye, así como de nuevos ítems que pueda incluir durante la ejecución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ágiles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asertiva,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con el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implementación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ética, y elementos de información.</w:t>
      </w:r>
    </w:p>
    <w:p>
      <w:pPr>
        <w:pStyle w:val="Textoindependiente"/>
      </w:pPr>
      <w:r>
        <w:t xml:space="preserve">Es un objetivo por cumplir para los procesos definidos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f2268698-f591-4371-8478-bb824c732370"/>
    <w:p>
      <w:pPr>
        <w:pStyle w:val="CaptionedFigure"/>
      </w:pPr>
      <w:bookmarkStart w:id="33" w:name="fig:"/>
      <w:r>
        <w:drawing>
          <wp:inline>
            <wp:extent cx="5600700" cy="3258526"/>
            <wp:effectExtent b="0" l="0" r="0" t="0"/>
            <wp:docPr descr="Figure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Figure 2: E-Service</w:t>
      </w:r>
    </w:p>
    <w:bookmarkEnd w:id="0"/>
    <w:p>
      <w:pPr>
        <w:pStyle w:val="Textoindependiente"/>
      </w:pPr>
      <w:r>
        <w:rPr>
          <w:iCs/>
          <w:i/>
        </w:rPr>
        <w:t xml:space="preserve">Fuente: Diagnóstico SOA. E-Service (2022).</w:t>
      </w:r>
    </w:p>
    <w:p>
      <w:pPr>
        <w:pStyle w:val="Textoindependiente"/>
      </w:pPr>
    </w:p>
    <w:bookmarkStart w:id="0" w:name="fig:c2f9ffcf-e08c-477e-be57-72bb1356385b"/>
    <w:p>
      <w:pPr>
        <w:pStyle w:val="CaptionedFigure"/>
      </w:pPr>
      <w:bookmarkStart w:id="37" w:name="fig:"/>
      <w:r>
        <w:drawing>
          <wp:inline>
            <wp:extent cx="5600700" cy="7690582"/>
            <wp:effectExtent b="0" l="0" r="0" t="0"/>
            <wp:docPr descr="Figure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Figure 3: E-Service</w:t>
      </w:r>
    </w:p>
    <w:bookmarkEnd w:id="0"/>
    <w:p>
      <w:pPr>
        <w:pStyle w:val="Textoindependiente"/>
      </w:pPr>
      <w:r>
        <w:rPr>
          <w:iCs/>
          <w:i/>
        </w:rPr>
        <w:t xml:space="preserve">Fuente: Diagnóstico SOA. E-Service (2022).</w:t>
      </w:r>
    </w:p>
    <w:p>
      <w:pPr>
        <w:pStyle w:val="Textoindependiente"/>
      </w:pPr>
    </w:p>
    <w:bookmarkStart w:id="0" w:name="fig:6f749535-45c8-4981-ae80-7e78e13061d9"/>
    <w:p>
      <w:pPr>
        <w:pStyle w:val="CaptionedFigure"/>
      </w:pPr>
      <w:bookmarkStart w:id="41" w:name="fig:"/>
      <w:r>
        <w:drawing>
          <wp:inline>
            <wp:extent cx="5600700" cy="3882030"/>
            <wp:effectExtent b="0" l="0" r="0" t="0"/>
            <wp:docPr descr="Figure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Figure 4: E-Service</w:t>
      </w:r>
    </w:p>
    <w:bookmarkEnd w:id="0"/>
    <w:p>
      <w:pPr>
        <w:pStyle w:val="Textoindependiente"/>
      </w:pPr>
      <w:r>
        <w:rPr>
          <w:iCs/>
          <w:i/>
        </w:rPr>
        <w:t xml:space="preserve">Fuente: Diagnóstico SOA. E-Service (2022).</w:t>
      </w:r>
    </w:p>
    <w:p>
      <w:pPr>
        <w:pStyle w:val="Textoindependiente"/>
      </w:pPr>
    </w:p>
    <w:bookmarkStart w:id="0" w:name="fig:d4f7ae82-0200-429a-99c4-6bf6e110c0c8"/>
    <w:p>
      <w:pPr>
        <w:pStyle w:val="CaptionedFigure"/>
      </w:pPr>
      <w:bookmarkStart w:id="45" w:name="fig:"/>
      <w:r>
        <w:drawing>
          <wp:inline>
            <wp:extent cx="5600700" cy="5701722"/>
            <wp:effectExtent b="0" l="0" r="0" t="0"/>
            <wp:docPr descr="Figure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Figure 5: E-Service</w:t>
      </w:r>
    </w:p>
    <w:bookmarkEnd w:id="0"/>
    <w:p>
      <w:pPr>
        <w:pStyle w:val="Textoindependiente"/>
      </w:pPr>
      <w:r>
        <w:rPr>
          <w:iCs/>
          <w:i/>
        </w:rPr>
        <w:t xml:space="preserve">Fuente: Diagnóstico SOA. E-Service (2022).</w:t>
      </w:r>
    </w:p>
    <w:p>
      <w:pPr>
        <w:pStyle w:val="Textoindependiente"/>
      </w:pPr>
    </w:p>
    <w:bookmarkStart w:id="0" w:name="fig:9b5b7117-cd80-4313-9a19-765518b0d99b"/>
    <w:p>
      <w:pPr>
        <w:pStyle w:val="CaptionedFigure"/>
      </w:pPr>
      <w:bookmarkStart w:id="49" w:name="fig:"/>
      <w:r>
        <w:drawing>
          <wp:inline>
            <wp:extent cx="5600700" cy="6963628"/>
            <wp:effectExtent b="0" l="0" r="0" t="0"/>
            <wp:docPr descr="Figure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Figure 6: E-Service</w:t>
      </w:r>
    </w:p>
    <w:bookmarkEnd w:id="0"/>
    <w:p>
      <w:pPr>
        <w:pStyle w:val="Textoindependiente"/>
      </w:pPr>
      <w:r>
        <w:rPr>
          <w:iCs/>
          <w:i/>
        </w:rPr>
        <w:t xml:space="preserve">Fuente: Diagnóstico SOA. E-Service (2022).</w:t>
      </w:r>
    </w:p>
    <w:p>
      <w:pPr>
        <w:pStyle w:val="Textoindependiente"/>
      </w:pPr>
    </w:p>
    <w:bookmarkStart w:id="0" w:name="fig:af635f60-3e7a-43d2-b1a2-932d72ec9d8b"/>
    <w:p>
      <w:pPr>
        <w:pStyle w:val="CaptionedFigure"/>
      </w:pPr>
      <w:bookmarkStart w:id="53" w:name="fig:"/>
      <w:r>
        <w:drawing>
          <wp:inline>
            <wp:extent cx="5600700" cy="2295848"/>
            <wp:effectExtent b="0" l="0" r="0" t="0"/>
            <wp:docPr descr="Figure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Figure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2023-08-02T22:11:52Z</dcterms:created>
  <dcterms:modified xsi:type="dcterms:W3CDTF">2023-08-02T22:11:52Z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