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10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1.4856abd</w:t>
      </w:r>
    </w:p>
    <w:p>
      <w:pPr>
        <w:pStyle w:val="FirstParagraph"/>
      </w:pPr>
    </w:p>
    <w:bookmarkStart w:id="28" w:name="Xfdc9c46fffb92987d4fb5ee4f99c21333ce1d71"/>
    <w:p>
      <w:pPr>
        <w:pStyle w:val="Ttulo1"/>
      </w:pPr>
      <w:r>
        <w:t xml:space="preserve">Producto 15: PR15. Inventario de artefactos genéricos y concretos de aceleración de implementación</w:t>
      </w:r>
    </w:p>
    <w:p>
      <w:pPr>
        <w:pStyle w:val="FirstParagraph"/>
      </w:pPr>
      <w:r>
        <w:t xml:space="preserve">Recogemos en este producto el concepto del</w:t>
      </w:r>
      <w:r>
        <w:t xml:space="preserve"> </w:t>
      </w:r>
      <w:r>
        <w:rPr>
          <w:iCs/>
          <w:i/>
        </w:rPr>
        <w:t xml:space="preserve">bloque de construcción abstracto</w:t>
      </w:r>
      <w:r>
        <w:t xml:space="preserve"> </w:t>
      </w:r>
      <w:r>
        <w:t xml:space="preserve">(ABB, por su siglas en inglés) promovido por TOGAF, y que a su vez podemos hallar su raíz en el concepto del plantilla de tipos o tipos de datos genéricos proveniente del paradigma orientado a objetos. En este producto trataremos de los bloques de construcción genéricos del FNA necesarios para normalizar la elaboración de diseños de solución y transición (dicha elaboración actual los cuales no son del alcance de este producto, ni del proyecto actual).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bloques de construcción abstractos, o genéricos en este contexto, son diseños previamente validados que pueden ser utilizados directamente en los procesos de elaboración de arquitecturas de solución y de transición en las que la arquitectura de referencia esté involucrada. Estos prediseños son importantes por razones de la aceleración que le aportan a la elaboración de estas transiciones, pero también por la normalización y reutilización que suponen en esto mismo, y porque están directamente asociados con una forma de solucionar el problema del tiempo de mercado diagnosticado en Fase I de esta consultoría.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Métodos para la gestión y evolución de los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Listado de Bloques de Construcción Abstractos del FNA (BCAF)</w:t>
      </w:r>
    </w:p>
    <w:p>
      <w:pPr>
        <w:numPr>
          <w:ilvl w:val="0"/>
          <w:numId w:val="1001"/>
        </w:numPr>
        <w:pStyle w:val="Compact"/>
      </w:pPr>
      <w:r>
        <w:t xml:space="preserve">Utilización de los Bloques de Construcción Abstractos en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del concepto del bloque de construcción genérico</w:t>
      </w:r>
    </w:p>
    <w:p>
      <w:pPr>
        <w:numPr>
          <w:ilvl w:val="0"/>
          <w:numId w:val="1002"/>
        </w:numPr>
        <w:pStyle w:val="Compact"/>
      </w:pPr>
      <w:r>
        <w:t xml:space="preserve">Entendimiento del uso de los prediseños de arquitectura</w:t>
      </w:r>
    </w:p>
    <w:p>
      <w:pPr>
        <w:numPr>
          <w:ilvl w:val="0"/>
          <w:numId w:val="1002"/>
        </w:numPr>
        <w:pStyle w:val="Compact"/>
      </w:pPr>
      <w:r>
        <w:t xml:space="preserve">Entrega del listado de Bloques de Construcción Abstractos del FNA (BCAF)Lista de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044d9ae6-9eb5-43ee-af50-eca5b0ce66c9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Arquitectura de Referencia SOA 2.0 del FNA (PRY02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Arquitectura de Referencia SOA 2.0 del FNA (PRY02),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2023-08-10T20:40:43Z</dcterms:created>
  <dcterms:modified xsi:type="dcterms:W3CDTF">2023-08-10T20:40:43Z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14nombre">
    <vt:lpwstr>Administración de las transiciones hacia la arquitectura versión 2.0</vt:lpwstr>
  </property>
  <property fmtid="{D5CDD505-2E9C-101B-9397-08002B2CF9AE}" pid="7" name="references">
    <vt:lpwstr/>
  </property>
</Properties>
</file>