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1.61adcf7</w:t>
      </w:r>
    </w:p>
    <w:p>
      <w:pPr>
        <w:pStyle w:val="FirstParagraph"/>
      </w:pPr>
    </w:p>
    <w:bookmarkStart w:id="28" w:name="X52cb82ede3c32a604df55ea94ad57bc8659a337"/>
    <w:p>
      <w:pPr>
        <w:pStyle w:val="Ttulo1"/>
      </w:pPr>
      <w:r>
        <w:t xml:space="preserve">Producto 15: PR15. Administración de las transiciones hacia la arquitectura versión 2.0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803ccfe-4f09-47e3-b7f8-41575b70a054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2023-08-02T22:12:42Z</dcterms:created>
  <dcterms:modified xsi:type="dcterms:W3CDTF">2023-08-02T22:12:42Z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