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473"/>
        <w:gridCol w:w="644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Administración de las transiciones hacia la arquitectura versión 2.0:</w:t>
            </w:r>
            <w:r>
              <w:t xml:space="preserve"> </w:t>
            </w:r>
            <w:r>
              <w:rPr>
                <w:bCs/>
                <w:b/>
              </w:rPr>
              <w:t xml:space="preserve">Definición de los Bloques de Construcción Abstractos del FNA (BCAF)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Arquitectura de referencia, Bloques de construcción, Genéricos, Reutilización, Tiempo de mercado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1.8bb1785</w:t>
            </w:r>
            <w:r>
              <w:t xml:space="preserve"> </w:t>
            </w:r>
            <w:r>
              <w:t xml:space="preserve">del 17 Aug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Ejecución Plan de Trabajo SOA</w:t>
              </w:r>
            </w:hyperlink>
            <w:r>
              <w:t xml:space="preserve">;</w:t>
            </w:r>
            <w:r>
              <w:t xml:space="preserve"> </w:t>
            </w:r>
            <w:hyperlink r:id="rId21">
              <w:r>
                <w:rPr>
                  <w:rStyle w:val="Hipervnculo"/>
                </w:rPr>
                <w:t xml:space="preserve">Procesos de Negocio FNA</w:t>
              </w:r>
            </w:hyperlink>
          </w:p>
        </w:tc>
      </w:tr>
    </w:tbl>
    <w:p>
      <w:pPr>
        <w:pStyle w:val="Textoindependiente"/>
      </w:pPr>
    </w:p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2023-08-17T21:54:53Z</dcterms:created>
  <dcterms:modified xsi:type="dcterms:W3CDTF">2023-08-17T21:54:53Z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prnombre">
    <vt:lpwstr>Inventario de artefactos genéricos y concretos de aceleración de implementación</vt:lpwstr>
  </property>
  <property fmtid="{D5CDD505-2E9C-101B-9397-08002B2CF9AE}" pid="7" name="references">
    <vt:lpwstr/>
  </property>
</Properties>
</file>