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55e45d2972d9e9ee13d402765306eb05f25f823"/>
    <w:p>
      <w:pPr>
        <w:pStyle w:val="Ttulo1"/>
      </w:pPr>
      <w:r>
        <w:t xml:space="preserve">Anexo 1. Población de servicios del portafolio FNA</w:t>
      </w:r>
    </w:p>
    <w:p>
      <w:pPr>
        <w:pStyle w:val="FirstParagraph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  <w:r>
        <w:t xml:space="preserve">Los servicios de negocio, aquellos que elaboran una respuesta mediante un cómputo (sea cálculo, diferencia, comparación…), y por tanto, los que inciden en la flexibilidad de negocio, son los de menor presencia en el portafolio FNA.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2023-08-17T21:54:52Z</dcterms:created>
  <dcterms:modified xsi:type="dcterms:W3CDTF">2023-08-17T21:54:52Z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