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20">
        <w:r>
          <w:rPr>
            <w:rStyle w:val="Hipervnculo"/>
          </w:rPr>
          <w:t xml:space="preserve">Análisis de susceptibilidad de gobierno (PR01)</w:t>
        </w:r>
      </w:hyperlink>
      <w:r>
        <w:t xml:space="preserve">, y</w:t>
      </w:r>
      <w:r>
        <w:t xml:space="preserve"> </w:t>
      </w:r>
      <w:hyperlink r:id="rId21">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7"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26" w:name="fig:flujoADM-1.png"/>
      <w:r>
        <w:drawing>
          <wp:inline>
            <wp:extent cx="5600700" cy="3251470"/>
            <wp:effectExtent b="0" l="0" r="0" t="0"/>
            <wp:docPr descr="Figure 1: alt 1. Actividades del flujo de trabajo de la oficina de arquitectura con arreglo al proceso ADM de TOGAF. Este flujo atiende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3251470"/>
                    </a:xfrm>
                    <a:prstGeom prst="rect">
                      <a:avLst/>
                    </a:prstGeom>
                    <a:noFill/>
                    <a:ln w="9525">
                      <a:noFill/>
                      <a:headEnd/>
                      <a:tailEnd/>
                    </a:ln>
                  </pic:spPr>
                </pic:pic>
              </a:graphicData>
            </a:graphic>
          </wp:inline>
        </w:drawing>
      </w:r>
      <w:bookmarkEnd w:id="26"/>
    </w:p>
    <w:p>
      <w:pPr>
        <w:pStyle w:val="ImageCaption"/>
      </w:pPr>
      <w:r>
        <w:t xml:space="preserve">Figure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1/content/01a3.flujos.md" TargetMode="External" /><Relationship Type="http://schemas.openxmlformats.org/officeDocument/2006/relationships/hyperlink" Id="rId21"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2023-08-11T17:11:07Z</dcterms:created>
  <dcterms:modified xsi:type="dcterms:W3CDTF">2023-08-11T17:11:07Z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