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b070fdeb21fc9e9197f843cc48bf4eb018a20c"/>
    <w:p>
      <w:pPr>
        <w:pStyle w:val="Ttulo1"/>
      </w:pPr>
      <w:r>
        <w:t xml:space="preserve">La Problemática del Tiempo de Mercado (salidas a producción) en el FNA</w:t>
      </w:r>
    </w:p>
    <w:p>
      <w:pPr>
        <w:pStyle w:val="FirstParagraph"/>
      </w:pPr>
      <w:r>
        <w:t xml:space="preserve">Con base a los diagnósticos de población del portafolio de servicios SOA del FNA (ver</w:t>
      </w:r>
      <w:r>
        <w:t xml:space="preserve"> 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el cual trata de la clasificación de servicios, tenemos el hecho de que la</w:t>
      </w:r>
      <w:r>
        <w:t xml:space="preserve"> </w:t>
      </w:r>
      <w:r>
        <w:rPr>
          <w:iCs/>
          <w:i/>
        </w:rPr>
        <w:t xml:space="preserve">mayor cantidad de servicios del portafolio son del tipo servicios de información</w:t>
      </w:r>
      <w:r>
        <w:t xml:space="preserve"> </w:t>
      </w:r>
      <w:r>
        <w:t xml:space="preserve">(ver anexo 1, Población de servicios del portafolio SOA del FNA).</w:t>
      </w:r>
    </w:p>
    <w:p>
      <w:pPr>
        <w:pStyle w:val="Textoindependiente"/>
      </w:pPr>
      <w: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comparación…), y por tanto, inciden en la flexibilidad de negocio, son los de menor presencia en el portafolio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2023-08-10T21:25:49Z</dcterms:created>
  <dcterms:modified xsi:type="dcterms:W3CDTF">2023-08-10T21:25:49Z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