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eservices1-22">
        <w:r>
          <w:rPr>
            <w:rStyle w:val="Hipervnculo"/>
            <w:bCs/>
            <w:b/>
          </w:rPr>
          <w:t xml:space="preserve">eservices1-22?</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 [Anexo 2. Población de servicios del portafolio FNA]).</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bookmarkEnd w:id="20"/>
    <w:bookmarkStart w:id="26" w:name="X83d73129d7440b1e5f058e0206704a0c790e53d"/>
    <w:p>
      <w:pPr>
        <w:pStyle w:val="Ttulo1"/>
      </w:pPr>
      <w:r>
        <w:t xml:space="preserve">Propuesta de Flexibilidad y Mejora del Tiempo de Mercado del FNA</w:t>
      </w:r>
    </w:p>
    <w:bookmarkStart w:id="25" w:name="X9387645811c3782dbdd71e926dc9969624ef4ca"/>
    <w:p>
      <w:pPr>
        <w:pStyle w:val="Ttulo2"/>
      </w:pPr>
      <w:r>
        <w:t xml:space="preserve">Bloques Genéricos de Construcción de la Arquitectura de Referencia</w:t>
      </w:r>
    </w:p>
    <w:p>
      <w:pPr>
        <w:pStyle w:val="FirstParagraph"/>
      </w:pPr>
      <w:r>
        <w:t xml:space="preserve">Desde la arquitectura de referencia SOA 2.0 del FNA hacemos la propuesta de mejoramiento de los tiempos de mercado del FNA son aquellos referidos en los pasos no. 2 y 5 del flujo de trabajo de la Oficina de Arquitectura y son en realidad paquetes de funcionalidad definidos por las necesidades de negocio o del arquitecto. Estos bloques pueden implementar a cualquier clasificador (objeto material) de los modelos del repositorio de arquitectura empresarial.</w:t>
      </w:r>
    </w:p>
    <w:p>
      <w:pPr>
        <w:pStyle w:val="Textoindependiente"/>
      </w:pPr>
      <w:r>
        <w:t xml:space="preserve">Ejemplo de estos bloques predefinidos en el repositorio de arquitectura pueden ser un proceso, un actor, un servicio, una aplicación, o una entidad de datos que haga parte del glosario de contenidos de la empresa Fondo Nacional.</w:t>
      </w:r>
    </w:p>
    <w:p>
      <w:pPr>
        <w:pStyle w:val="Textoindependiente"/>
      </w:pPr>
      <w:r>
        <w:t xml:space="preserve">Los bloques genéricos deben cumplir algunas reglas, como que siempre deben representar una necesidad concisa de negocio o de arquitectura, que representen un único concepto con límites claros, y que sera reconocible como</w:t>
      </w:r>
      <w:r>
        <w:t xml:space="preserve"> </w:t>
      </w:r>
      <w:r>
        <w:t xml:space="preserve">‘</w:t>
      </w:r>
      <w:r>
        <w:t xml:space="preserve">parte</w:t>
      </w:r>
      <w:r>
        <w:t xml:space="preserve">’</w:t>
      </w:r>
      <w:r>
        <w:t xml:space="preserve"> </w:t>
      </w:r>
      <w:r>
        <w:t xml:space="preserve">en un dominio de la arquitectura. Puede o no interoperar con otros bloques, en cuyo caso también habrá que definirlos. Es importante que un bloque de construcción tenga una implementación lógica en el repositorio, además de un uso, y que esté implementado y evolucione mediante la tecnología.</w:t>
      </w:r>
    </w:p>
    <w:p>
      <w:pPr>
        <w:pStyle w:val="Textoindependiente"/>
      </w:pPr>
      <w:r>
        <w:t xml:space="preserve">Los bloques de solución pueden estar compuesto por otros, en cuyo caso serán un ensamblado; pueden ser descompuestos (desensamblado) en los bloques pequeños que los constituyen.</w:t>
      </w:r>
    </w:p>
    <w:p>
      <w:pPr>
        <w:pStyle w:val="Textoindependiente"/>
      </w:pPr>
      <w:r>
        <w:t xml:space="preserve">Una regla necesaria a la hora de diseñar e implementar un bloque de construcción genérico, y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este concepto de bloques genérico es que sea incremental. Es decir, que sea creado mediante el de los niveles de detalle (100 al 500). Por ejemplo, a nivel 100, el arquitecto del FNA podría dar comienzo al modelado de un bloque de genérico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una representación de un bloque genérico y los elementos con los que se implementan en el repositorio de arquitectura del FNA..</w:t>
      </w:r>
    </w:p>
    <w:bookmarkStart w:id="0" w:name="fig:bb.png"/>
    <w:p>
      <w:pPr>
        <w:pStyle w:val="CaptionedFigure"/>
      </w:pPr>
      <w:bookmarkStart w:id="24" w:name="fig:bb.png"/>
      <w:r>
        <w:drawing>
          <wp:inline>
            <wp:extent cx="3131590" cy="1813509"/>
            <wp:effectExtent b="0" l="0" r="0" t="0"/>
            <wp:docPr descr="Figure 1: Relación de partes de un bloque de construcción genérico de la arquitectura de referencia del FNA." title="" id="22" name="Picture"/>
            <a:graphic>
              <a:graphicData uri="http://schemas.openxmlformats.org/drawingml/2006/picture">
                <pic:pic>
                  <pic:nvPicPr>
                    <pic:cNvPr descr="images/bb.png" id="23" name="Picture"/>
                    <pic:cNvPicPr>
                      <a:picLocks noChangeArrowheads="1" noChangeAspect="1"/>
                    </pic:cNvPicPr>
                  </pic:nvPicPr>
                  <pic:blipFill>
                    <a:blip r:embed="rId21"/>
                    <a:stretch>
                      <a:fillRect/>
                    </a:stretch>
                  </pic:blipFill>
                  <pic:spPr bwMode="auto">
                    <a:xfrm>
                      <a:off x="0" y="0"/>
                      <a:ext cx="3131590" cy="1813509"/>
                    </a:xfrm>
                    <a:prstGeom prst="rect">
                      <a:avLst/>
                    </a:prstGeom>
                    <a:noFill/>
                    <a:ln w="9525">
                      <a:noFill/>
                      <a:headEnd/>
                      <a:tailEnd/>
                    </a:ln>
                  </pic:spPr>
                </pic:pic>
              </a:graphicData>
            </a:graphic>
          </wp:inline>
        </w:drawing>
      </w:r>
      <w:bookmarkEnd w:id="24"/>
    </w:p>
    <w:p>
      <w:pPr>
        <w:pStyle w:val="ImageCaption"/>
      </w:pPr>
      <w:r>
        <w:t xml:space="preserve">Figure 1: Relación de partes de un bloque de construcción genérico de la arquitectura de referencia del FNA.</w:t>
      </w:r>
    </w:p>
    <w:bookmarkEnd w:id="0"/>
    <w:p>
      <w:pPr>
        <w:pStyle w:val="Textoindependiente"/>
      </w:pPr>
      <w:r>
        <w:rPr>
          <w:iCs/>
          <w:i/>
        </w:rPr>
        <w:t xml:space="preserve">Fuente: TOGAF 9.1.</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2023-08-18T14:45:18Z</dcterms:created>
  <dcterms:modified xsi:type="dcterms:W3CDTF">2023-08-18T14:45:18Z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