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Listado de Bloques de Construcción Abstractos del FNA (BCAF)</w:t>
            </w:r>
          </w:p>
        </w:tc>
      </w:tr>
      <w:tr>
        <w:tc>
          <w:tcPr/>
          <w:p>
            <w:pPr>
              <w:pStyle w:val="Compact"/>
              <w:jc w:val="left"/>
            </w:pPr>
            <w:r>
              <w:t xml:space="preserve">Palabras clave</w:t>
            </w:r>
          </w:p>
        </w:tc>
        <w:tc>
          <w:tcPr/>
          <w:p>
            <w:pPr>
              <w:pStyle w:val="Compact"/>
              <w:jc w:val="left"/>
            </w:pPr>
            <w:r>
              <w:t xml:space="preserve">SOA, Arquitectura de referencia, Bloques de construcción, Genéricos, Reutilización, Tiempo de mercado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1.8bb1785</w:t>
            </w:r>
            <w:r>
              <w:t xml:space="preserve"> </w:t>
            </w:r>
            <w:r>
              <w:t xml:space="preserve">del 17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1eaa53771c24f4fa9a080c398c304233fc2cc20"/>
    <w:p>
      <w:pPr>
        <w:pStyle w:val="Ttulo1"/>
      </w:pPr>
      <w:r>
        <w:t xml:space="preserve">Listado de Bloques de Construcción Abstractos del FNA</w:t>
      </w:r>
    </w:p>
    <w:p>
      <w:pPr>
        <w:pStyle w:val="FirstParagraph"/>
      </w:pPr>
      <w:r>
        <w:t xml:space="preserve">Existen varios enfoques diferentes para acelerar la implementación de una arquitectura. En este ejercicio de arquitectura de referencia hemos propuesto el los bloques de construcción genéricos SOA, los cuales ayudan a seleccionar la solución adecuada para el contexto que la requiera. La solución de los bloques genéricos comportan una ventaja adicional, que no es menor, por lo que tienden a disminuir la densidad de errores en las implementaciones de arquitectura al partir de una construcción base, si bien abstracta, agiliza el inicio del proceso de construcción, que es precisamente la más propensa al error.</w:t>
      </w:r>
    </w:p>
    <w:p>
      <w:pPr>
        <w:pStyle w:val="Textoindependiente"/>
      </w:pPr>
      <w:r>
        <w:t xml:space="preserve">Presentamos a continuación la lista de bloques de construcción genéricos recomendados para agilizar la construcción de arquitecturas en el FNA.</w:t>
      </w:r>
    </w:p>
    <w:p>
      <w:pPr>
        <w:numPr>
          <w:ilvl w:val="0"/>
          <w:numId w:val="1001"/>
        </w:numPr>
        <w:pStyle w:val="Compact"/>
      </w:pPr>
      <w:r>
        <w:t xml:space="preserve">Organización de inventario</w:t>
      </w:r>
    </w:p>
    <w:p>
      <w:pPr>
        <w:numPr>
          <w:ilvl w:val="1"/>
          <w:numId w:val="1002"/>
        </w:numPr>
        <w:pStyle w:val="Compact"/>
      </w:pPr>
      <w:r>
        <w:t xml:space="preserve">Inventario empresarial</w:t>
      </w:r>
    </w:p>
    <w:p>
      <w:pPr>
        <w:numPr>
          <w:ilvl w:val="1"/>
          <w:numId w:val="1002"/>
        </w:numPr>
        <w:pStyle w:val="Compact"/>
      </w:pPr>
      <w:r>
        <w:t xml:space="preserve">Normalización de servicios</w:t>
      </w:r>
    </w:p>
    <w:p>
      <w:pPr>
        <w:numPr>
          <w:ilvl w:val="1"/>
          <w:numId w:val="1002"/>
        </w:numPr>
        <w:pStyle w:val="Compact"/>
      </w:pPr>
      <w:r>
        <w:t xml:space="preserve">Esquema canónico</w:t>
      </w:r>
    </w:p>
    <w:p>
      <w:pPr>
        <w:numPr>
          <w:ilvl w:val="1"/>
          <w:numId w:val="1002"/>
        </w:numPr>
        <w:pStyle w:val="Compact"/>
      </w:pPr>
      <w:r>
        <w:t xml:space="preserve">Estratos de servicios</w:t>
      </w:r>
    </w:p>
    <w:p>
      <w:pPr>
        <w:numPr>
          <w:ilvl w:val="0"/>
          <w:numId w:val="1001"/>
        </w:numPr>
        <w:pStyle w:val="Compact"/>
      </w:pPr>
      <w:r>
        <w:t xml:space="preserve">Gobierno de Servicios</w:t>
      </w:r>
    </w:p>
    <w:p>
      <w:pPr>
        <w:numPr>
          <w:ilvl w:val="1"/>
          <w:numId w:val="1003"/>
        </w:numPr>
        <w:pStyle w:val="Compact"/>
      </w:pPr>
      <w:r>
        <w:t xml:space="preserve">Versionamiento</w:t>
      </w:r>
    </w:p>
    <w:p>
      <w:pPr>
        <w:numPr>
          <w:ilvl w:val="1"/>
          <w:numId w:val="1003"/>
        </w:numPr>
        <w:pStyle w:val="Compact"/>
      </w:pPr>
      <w:r>
        <w:t xml:space="preserve">Reforma de servicio</w:t>
      </w:r>
    </w:p>
    <w:p>
      <w:pPr>
        <w:numPr>
          <w:ilvl w:val="1"/>
          <w:numId w:val="1003"/>
        </w:numPr>
        <w:pStyle w:val="Compact"/>
      </w:pPr>
      <w:r>
        <w:t xml:space="preserve">Descomposición de servicios</w:t>
      </w:r>
    </w:p>
    <w:p>
      <w:pPr>
        <w:numPr>
          <w:ilvl w:val="0"/>
          <w:numId w:val="1001"/>
        </w:numPr>
        <w:pStyle w:val="Compact"/>
      </w:pPr>
      <w:r>
        <w:t xml:space="preserve">Implementación de servicios</w:t>
      </w:r>
    </w:p>
    <w:p>
      <w:pPr>
        <w:numPr>
          <w:ilvl w:val="1"/>
          <w:numId w:val="1004"/>
        </w:numPr>
        <w:pStyle w:val="Compact"/>
      </w:pPr>
      <w:r>
        <w:t xml:space="preserve">Fachadas</w:t>
      </w:r>
    </w:p>
    <w:p>
      <w:pPr>
        <w:numPr>
          <w:ilvl w:val="1"/>
          <w:numId w:val="1004"/>
        </w:numPr>
        <w:pStyle w:val="Compact"/>
      </w:pPr>
      <w:r>
        <w:t xml:space="preserve">Redundancia</w:t>
      </w:r>
    </w:p>
    <w:p>
      <w:pPr>
        <w:numPr>
          <w:ilvl w:val="1"/>
          <w:numId w:val="1004"/>
        </w:numPr>
        <w:pStyle w:val="Compact"/>
      </w:pPr>
      <w:r>
        <w:t xml:space="preserve">Replicación</w:t>
      </w:r>
    </w:p>
    <w:p>
      <w:pPr>
        <w:numPr>
          <w:ilvl w:val="1"/>
          <w:numId w:val="1004"/>
        </w:numPr>
        <w:pStyle w:val="Compact"/>
      </w:pPr>
      <w:r>
        <w:t xml:space="preserve">Mediador UI</w:t>
      </w:r>
    </w:p>
    <w:p>
      <w:pPr>
        <w:numPr>
          <w:ilvl w:val="0"/>
          <w:numId w:val="1001"/>
        </w:numPr>
        <w:pStyle w:val="Compact"/>
      </w:pPr>
      <w:r>
        <w:t xml:space="preserve">Seguridad</w:t>
      </w:r>
    </w:p>
    <w:p>
      <w:pPr>
        <w:numPr>
          <w:ilvl w:val="1"/>
          <w:numId w:val="1005"/>
        </w:numPr>
        <w:pStyle w:val="Compact"/>
      </w:pPr>
      <w:r>
        <w:t xml:space="preserve">Confidencialidad</w:t>
      </w:r>
    </w:p>
    <w:p>
      <w:pPr>
        <w:numPr>
          <w:ilvl w:val="1"/>
          <w:numId w:val="1005"/>
        </w:numPr>
        <w:pStyle w:val="Compact"/>
      </w:pPr>
      <w:r>
        <w:t xml:space="preserve">Autenticación de mensaje / datos</w:t>
      </w:r>
    </w:p>
    <w:p>
      <w:pPr>
        <w:numPr>
          <w:ilvl w:val="1"/>
          <w:numId w:val="1005"/>
        </w:numPr>
        <w:pStyle w:val="Compact"/>
      </w:pPr>
      <w:r>
        <w:t xml:space="preserve">Autenticación directa</w:t>
      </w:r>
    </w:p>
    <w:p>
      <w:pPr>
        <w:numPr>
          <w:ilvl w:val="1"/>
          <w:numId w:val="1005"/>
        </w:numPr>
        <w:pStyle w:val="Compact"/>
      </w:pPr>
      <w:r>
        <w:t xml:space="preserve">Mediación de autenticación</w:t>
      </w:r>
    </w:p>
    <w:p>
      <w:pPr>
        <w:numPr>
          <w:ilvl w:val="0"/>
          <w:numId w:val="1001"/>
        </w:numPr>
        <w:pStyle w:val="Compact"/>
      </w:pPr>
      <w:r>
        <w:t xml:space="preserve">Contratos</w:t>
      </w:r>
    </w:p>
    <w:p>
      <w:pPr>
        <w:numPr>
          <w:ilvl w:val="1"/>
          <w:numId w:val="1006"/>
        </w:numPr>
        <w:pStyle w:val="Compact"/>
      </w:pPr>
      <w:r>
        <w:t xml:space="preserve">Contrato desacoplado</w:t>
      </w:r>
    </w:p>
    <w:p>
      <w:pPr>
        <w:numPr>
          <w:ilvl w:val="1"/>
          <w:numId w:val="1006"/>
        </w:numPr>
        <w:pStyle w:val="Compact"/>
      </w:pPr>
      <w:r>
        <w:t xml:space="preserve">Contrato centralizado</w:t>
      </w:r>
    </w:p>
    <w:p>
      <w:pPr>
        <w:numPr>
          <w:ilvl w:val="0"/>
          <w:numId w:val="1001"/>
        </w:numPr>
        <w:pStyle w:val="Compact"/>
      </w:pPr>
      <w:r>
        <w:t xml:space="preserve">Organización de servicios</w:t>
      </w:r>
    </w:p>
    <w:p>
      <w:pPr>
        <w:numPr>
          <w:ilvl w:val="1"/>
          <w:numId w:val="1007"/>
        </w:numPr>
        <w:pStyle w:val="Compact"/>
      </w:pPr>
      <w:r>
        <w:t xml:space="preserve">Descomposición funcional</w:t>
      </w:r>
    </w:p>
    <w:p>
      <w:pPr>
        <w:numPr>
          <w:ilvl w:val="1"/>
          <w:numId w:val="1007"/>
        </w:numPr>
        <w:pStyle w:val="Compact"/>
      </w:pPr>
      <w:r>
        <w:t xml:space="preserve">Encapsulamiento de servicio</w:t>
      </w:r>
    </w:p>
    <w:p>
      <w:pPr>
        <w:numPr>
          <w:ilvl w:val="1"/>
          <w:numId w:val="1007"/>
        </w:numPr>
        <w:pStyle w:val="Compact"/>
      </w:pPr>
      <w:r>
        <w:t xml:space="preserve">Contexto agnóstico</w:t>
      </w:r>
    </w:p>
    <w:p>
      <w:pPr>
        <w:numPr>
          <w:ilvl w:val="0"/>
          <w:numId w:val="1001"/>
        </w:numPr>
        <w:pStyle w:val="Compact"/>
      </w:pPr>
      <w:r>
        <w:t xml:space="preserve">Manejo de legados</w:t>
      </w:r>
    </w:p>
    <w:p>
      <w:pPr>
        <w:numPr>
          <w:ilvl w:val="1"/>
          <w:numId w:val="1008"/>
        </w:numPr>
        <w:pStyle w:val="Compact"/>
      </w:pPr>
      <w:r>
        <w:t xml:space="preserve">Envoltura de legado</w:t>
      </w:r>
    </w:p>
    <w:p>
      <w:pPr>
        <w:numPr>
          <w:ilvl w:val="1"/>
          <w:numId w:val="1008"/>
        </w:numPr>
        <w:pStyle w:val="Compact"/>
      </w:pPr>
      <w:r>
        <w:t xml:space="preserve">Punto multicanal</w:t>
      </w:r>
    </w:p>
    <w:p>
      <w:pPr>
        <w:numPr>
          <w:ilvl w:val="1"/>
          <w:numId w:val="1008"/>
        </w:numPr>
        <w:pStyle w:val="Compact"/>
      </w:pPr>
      <w:r>
        <w:t xml:space="preserve">Compuerta de archivo</w:t>
      </w:r>
    </w:p>
    <w:p>
      <w:pPr>
        <w:numPr>
          <w:ilvl w:val="0"/>
          <w:numId w:val="1001"/>
        </w:numPr>
        <w:pStyle w:val="Compact"/>
      </w:pPr>
      <w:r>
        <w:t xml:space="preserve">Manejo de capacidades</w:t>
      </w:r>
    </w:p>
    <w:p>
      <w:pPr>
        <w:numPr>
          <w:ilvl w:val="1"/>
          <w:numId w:val="1009"/>
        </w:numPr>
        <w:pStyle w:val="Compact"/>
      </w:pPr>
      <w:r>
        <w:t xml:space="preserve">Composición de capacidades</w:t>
      </w:r>
    </w:p>
    <w:p>
      <w:pPr>
        <w:numPr>
          <w:ilvl w:val="1"/>
          <w:numId w:val="1009"/>
        </w:numPr>
        <w:pStyle w:val="Compact"/>
      </w:pPr>
      <w:r>
        <w:t xml:space="preserve">Recomposición de capacidades</w:t>
      </w:r>
    </w:p>
    <w:p>
      <w:pPr>
        <w:numPr>
          <w:ilvl w:val="0"/>
          <w:numId w:val="1001"/>
        </w:numPr>
        <w:pStyle w:val="Compact"/>
      </w:pPr>
      <w:r>
        <w:t xml:space="preserve">Mensajes de servicios</w:t>
      </w:r>
    </w:p>
    <w:p>
      <w:pPr>
        <w:numPr>
          <w:ilvl w:val="1"/>
          <w:numId w:val="1010"/>
        </w:numPr>
        <w:pStyle w:val="Compact"/>
      </w:pPr>
      <w:r>
        <w:t xml:space="preserve">Mensajería entre servicios</w:t>
      </w:r>
    </w:p>
    <w:p>
      <w:pPr>
        <w:numPr>
          <w:ilvl w:val="1"/>
          <w:numId w:val="1010"/>
        </w:numPr>
        <w:pStyle w:val="Compact"/>
      </w:pPr>
      <w:r>
        <w:t xml:space="preserve">Agentes</w:t>
      </w:r>
    </w:p>
    <w:p>
      <w:pPr>
        <w:numPr>
          <w:ilvl w:val="1"/>
          <w:numId w:val="1010"/>
        </w:numPr>
        <w:pStyle w:val="Compact"/>
      </w:pPr>
      <w:r>
        <w:t xml:space="preserve">Interruteo</w:t>
      </w:r>
    </w:p>
    <w:p>
      <w:pPr>
        <w:numPr>
          <w:ilvl w:val="1"/>
          <w:numId w:val="1010"/>
        </w:numPr>
        <w:pStyle w:val="Compact"/>
      </w:pPr>
      <w:r>
        <w:t xml:space="preserve">Mensajería con estado</w:t>
      </w:r>
    </w:p>
    <w:p>
      <w:pPr>
        <w:numPr>
          <w:ilvl w:val="1"/>
          <w:numId w:val="1010"/>
        </w:numPr>
        <w:pStyle w:val="Compact"/>
      </w:pPr>
      <w:r>
        <w:t xml:space="preserve">Devolución de llamado (callback)</w:t>
      </w:r>
    </w:p>
    <w:p>
      <w:pPr>
        <w:numPr>
          <w:ilvl w:val="1"/>
          <w:numId w:val="1010"/>
        </w:numPr>
        <w:pStyle w:val="Compact"/>
      </w:pPr>
      <w:r>
        <w:t xml:space="preserve">Encolado asíncrono</w:t>
      </w:r>
    </w:p>
    <w:p>
      <w:pPr>
        <w:numPr>
          <w:ilvl w:val="1"/>
          <w:numId w:val="1010"/>
        </w:numPr>
        <w:pStyle w:val="Compact"/>
      </w:pPr>
      <w:r>
        <w:t xml:space="preserve">Mensajería confiable</w:t>
      </w:r>
    </w:p>
    <w:p>
      <w:pPr>
        <w:numPr>
          <w:ilvl w:val="1"/>
          <w:numId w:val="1010"/>
        </w:numPr>
        <w:pStyle w:val="Compact"/>
      </w:pPr>
      <w:r>
        <w:t xml:space="preserve">Mensajería eventual</w:t>
      </w:r>
    </w:p>
    <w:p>
      <w:pPr>
        <w:numPr>
          <w:ilvl w:val="0"/>
          <w:numId w:val="1001"/>
        </w:numPr>
        <w:pStyle w:val="Compact"/>
      </w:pPr>
      <w:r>
        <w:t xml:space="preserve">Diseño de composiciones</w:t>
      </w:r>
    </w:p>
    <w:p>
      <w:pPr>
        <w:numPr>
          <w:ilvl w:val="1"/>
          <w:numId w:val="1011"/>
        </w:numPr>
        <w:pStyle w:val="Compact"/>
      </w:pPr>
      <w:r>
        <w:t xml:space="preserve">Orquestación</w:t>
      </w:r>
    </w:p>
    <w:p>
      <w:pPr>
        <w:numPr>
          <w:ilvl w:val="1"/>
          <w:numId w:val="1011"/>
        </w:numPr>
        <w:pStyle w:val="Compact"/>
      </w:pPr>
      <w:r>
        <w:t xml:space="preserve">ESB</w:t>
      </w:r>
    </w:p>
    <w:p>
      <w:pPr>
        <w:numPr>
          <w:ilvl w:val="1"/>
          <w:numId w:val="1011"/>
        </w:numPr>
        <w:pStyle w:val="Compact"/>
      </w:pPr>
      <w:r>
        <w:t xml:space="preserve">Intermediación</w:t>
      </w:r>
    </w:p>
    <w:p>
      <w:pPr>
        <w:numPr>
          <w:ilvl w:val="0"/>
          <w:numId w:val="1001"/>
        </w:numPr>
        <w:pStyle w:val="Compact"/>
      </w:pPr>
      <w:r>
        <w:t xml:space="preserve">Implementación de composición</w:t>
      </w:r>
    </w:p>
    <w:p>
      <w:pPr>
        <w:numPr>
          <w:ilvl w:val="1"/>
          <w:numId w:val="1012"/>
        </w:numPr>
        <w:pStyle w:val="Compact"/>
      </w:pPr>
      <w:r>
        <w:t xml:space="preserve">Controlador secundario (agnóstico)</w:t>
      </w:r>
    </w:p>
    <w:p>
      <w:pPr>
        <w:numPr>
          <w:ilvl w:val="1"/>
          <w:numId w:val="1012"/>
        </w:numPr>
        <w:pStyle w:val="Compact"/>
      </w:pPr>
      <w:r>
        <w:t xml:space="preserve">Autonomía de la composición</w:t>
      </w:r>
    </w:p>
    <w:p>
      <w:pPr>
        <w:numPr>
          <w:ilvl w:val="1"/>
          <w:numId w:val="1012"/>
        </w:numPr>
        <w:pStyle w:val="Compact"/>
      </w:pPr>
      <w:r>
        <w:t xml:space="preserve">Transacción atómica</w:t>
      </w:r>
    </w:p>
    <w:p>
      <w:pPr>
        <w:numPr>
          <w:ilvl w:val="1"/>
          <w:numId w:val="1012"/>
        </w:numPr>
        <w:pStyle w:val="Compact"/>
      </w:pPr>
      <w:r>
        <w:t xml:space="preserve">Compensación transaccional</w:t>
      </w:r>
    </w:p>
    <w:p>
      <w:pPr>
        <w:pStyle w:val="FirstParagraph"/>
      </w:pPr>
    </w:p>
    <w:p>
      <w:pPr>
        <w:pStyle w:val="Textoindependiente"/>
      </w:pPr>
      <w:r>
        <w:t xml:space="preserve">Nota: la lista de bloques genéricos aquí presentados requieren de implementación, pero esta no hace parte del alcance del proyecto actual.</w:t>
      </w:r>
    </w:p>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2023-08-17T21:54:55Z</dcterms:created>
  <dcterms:modified xsi:type="dcterms:W3CDTF">2023-08-17T21:54:55Z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Inventario de artefactos genéricos y concretos de aceleración de implementación</vt:lpwstr>
  </property>
  <property fmtid="{D5CDD505-2E9C-101B-9397-08002B2CF9AE}" pid="7" name="references">
    <vt:lpwstr/>
  </property>
</Properties>
</file>