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comienzo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Textoindependiente"/>
      </w:pPr>
      <w:bookmarkStart w:id="20" w:name="fig:flujoADM-2.png"/>
      <w:r>
        <w:t xml:space="preserve">Figure 1: alt 2. Actividades y relaciones de los estados de un flujo de trabajo de la oficina de arquitectura con arreglo al proceso ADM de TOGAF. Flujo para la oficina de arquitectura en conjunto con proveedores del FNA.</w:t>
      </w:r>
      <w:bookmarkEnd w:id="20"/>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corresponda una revisión interna, y de esta, se inicien varios flujos de implementación y colaboración de cambios a los servicios y aplicaciones del FNA.</w:t>
      </w:r>
    </w:p>
    <w:p>
      <w:pPr>
        <w:pStyle w:val="Textoindependiente"/>
      </w:pPr>
    </w:p>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2023-08-10T21:28:48Z</dcterms:created>
  <dcterms:modified xsi:type="dcterms:W3CDTF">2023-08-10T21:28:48Z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