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c694f46287b146bd00efa8a3d315717b2f4c20b"/>
    <w:p>
      <w:pPr>
        <w:pStyle w:val="Ttulo1"/>
      </w:pPr>
      <w:r>
        <w:t xml:space="preserve">Anexo 2. Flujo de Trabajo de la Oficina de Arquitectura</w:t>
      </w:r>
    </w:p>
    <w:p>
      <w:pPr>
        <w:pStyle w:val="FirstParagraph"/>
      </w:pPr>
      <w:r>
        <w:t xml:space="preserve">El flujo de trabajo de la oficina de arquitectura es un mecanismo de prevención de las carencias de gobierno 0.2 del FNA (ver</w:t>
      </w:r>
      <w:r>
        <w:t xml:space="preserve"> </w:t>
      </w:r>
      <w:hyperlink r:id="rId20">
        <w:r>
          <w:rPr>
            <w:rStyle w:val="Hipervnculo"/>
          </w:rPr>
          <w:t xml:space="preserve">Análisis de susceptibilidad de gobierno (PR01)</w:t>
        </w:r>
      </w:hyperlink>
      <w:r>
        <w:t xml:space="preserve">, y</w:t>
      </w:r>
      <w:r>
        <w:t xml:space="preserve"> </w:t>
      </w:r>
      <w:hyperlink r:id="rId21">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7"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26" w:name="fig:flujoADM-1.png"/>
      <w:r>
        <w:drawing>
          <wp:inline>
            <wp:extent cx="5600700" cy="3251470"/>
            <wp:effectExtent b="0" l="0" r="0" t="0"/>
            <wp:docPr descr="Figure 1: alt 1. Actividades del flujo de trabajo de la oficina de arquitectura con arreglo al proceso ADM de TOGAF. Este flujo atiende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3251470"/>
                    </a:xfrm>
                    <a:prstGeom prst="rect">
                      <a:avLst/>
                    </a:prstGeom>
                    <a:noFill/>
                    <a:ln w="9525">
                      <a:noFill/>
                      <a:headEnd/>
                      <a:tailEnd/>
                    </a:ln>
                  </pic:spPr>
                </pic:pic>
              </a:graphicData>
            </a:graphic>
          </wp:inline>
        </w:drawing>
      </w:r>
      <w:bookmarkEnd w:id="26"/>
    </w:p>
    <w:p>
      <w:pPr>
        <w:pStyle w:val="ImageCaption"/>
      </w:pPr>
      <w:r>
        <w:t xml:space="preserve">Figure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fna-dd-f2-pry1/content/01a3.flujos.md" TargetMode="External" /><Relationship Type="http://schemas.openxmlformats.org/officeDocument/2006/relationships/hyperlink" Id="rId21"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1/content/01a3.flujos.md" TargetMode="External" /><Relationship Type="http://schemas.openxmlformats.org/officeDocument/2006/relationships/hyperlink" Id="rId21"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2023-08-10T22:39:02Z</dcterms:created>
  <dcterms:modified xsi:type="dcterms:W3CDTF">2023-08-10T22:39:02Z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