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09 Aug 2023</w:t>
      </w:r>
    </w:p>
    <w:p>
      <w:pPr>
        <w:pStyle w:val="Textodebloque"/>
      </w:pPr>
      <w:r>
        <w:rPr>
          <w:bCs/>
          <w:b/>
        </w:rPr>
        <w:t xml:space="preserve">Versión</w:t>
      </w:r>
      <w:r>
        <w:t xml:space="preserve"> </w:t>
      </w:r>
      <w:r>
        <w:t xml:space="preserve">1.7c1c6b8</w:t>
      </w:r>
    </w:p>
    <w:p>
      <w:pPr>
        <w:pStyle w:val="FirstParagraph"/>
      </w:pPr>
    </w:p>
    <w:bookmarkStart w:id="29"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le complementa el análisis de impacto inicial sobre las implicaciones de introducir los cambios funcionales y tecnológicos que este tipo de arquitectura se propone: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Entendimiento del concepto del bloque de construcción genérico</w:t>
      </w:r>
    </w:p>
    <w:p>
      <w:pPr>
        <w:numPr>
          <w:ilvl w:val="0"/>
          <w:numId w:val="1002"/>
        </w:numPr>
        <w:pStyle w:val="Compact"/>
      </w:pPr>
      <w:r>
        <w:t xml:space="preserve">Entendimiento del uso de los prediseños de arquitectura</w:t>
      </w:r>
    </w:p>
    <w:p>
      <w:pPr>
        <w:numPr>
          <w:ilvl w:val="0"/>
          <w:numId w:val="1002"/>
        </w:numPr>
        <w:pStyle w:val="Compact"/>
      </w:pPr>
      <w:r>
        <w:t xml:space="preserve">Entrega del listado de Bloques de Construcción Abstractos del FNA (BCAF)Lista de</w:t>
      </w:r>
    </w:p>
    <w:p>
      <w:pPr>
        <w:pStyle w:val="FirstParagraph"/>
      </w:pPr>
    </w:p>
    <w:bookmarkEnd w:id="23"/>
    <w:bookmarkStart w:id="28" w:name="modelo-de-implementación-del-pry02"/>
    <w:p>
      <w:pPr>
        <w:pStyle w:val="Ttulo2"/>
      </w:pPr>
      <w:r>
        <w:t xml:space="preserve">Modelo de Implementación del PRY02</w:t>
      </w:r>
    </w:p>
    <w:bookmarkStart w:id="0" w:name="fig:28e46c22-0209-40dd-8cd7-126fc51a1734"/>
    <w:p>
      <w:pPr>
        <w:pStyle w:val="CaptionedFigure"/>
      </w:pPr>
      <w:bookmarkStart w:id="27" w:name="fig:"/>
      <w:r>
        <w:drawing>
          <wp:inline>
            <wp:extent cx="5600700" cy="4264411"/>
            <wp:effectExtent b="0" l="0" r="0" t="0"/>
            <wp:docPr descr="Figure 1: Plan de Implementación del Proyecto Arquitectura de Referencia SOA 2.0 del FNA (PRY02), 2023. Junio 2023 a julio 2023" title="" id="25" name="Picture"/>
            <a:graphic>
              <a:graphicData uri="http://schemas.openxmlformats.org/drawingml/2006/picture">
                <pic:pic>
                  <pic:nvPicPr>
                    <pic:cNvPr descr="images/pry2e4.png" id="26" name="Picture"/>
                    <pic:cNvPicPr>
                      <a:picLocks noChangeArrowheads="1" noChangeAspect="1"/>
                    </pic:cNvPicPr>
                  </pic:nvPicPr>
                  <pic:blipFill>
                    <a:blip r:embed="rId24"/>
                    <a:stretch>
                      <a:fillRect/>
                    </a:stretch>
                  </pic:blipFill>
                  <pic:spPr bwMode="auto">
                    <a:xfrm>
                      <a:off x="0" y="0"/>
                      <a:ext cx="5600700" cy="4264411"/>
                    </a:xfrm>
                    <a:prstGeom prst="rect">
                      <a:avLst/>
                    </a:prstGeom>
                    <a:noFill/>
                    <a:ln w="9525">
                      <a:noFill/>
                      <a:headEnd/>
                      <a:tailEnd/>
                    </a:ln>
                  </pic:spPr>
                </pic:pic>
              </a:graphicData>
            </a:graphic>
          </wp:inline>
        </w:drawing>
      </w:r>
      <w:bookmarkEnd w:id="27"/>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2023-08-09T21:43:07Z</dcterms:created>
  <dcterms:modified xsi:type="dcterms:W3CDTF">2023-08-09T21:43:07Z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