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102.png" ContentType="image/png"/>
  <Override PartName="/word/media/rId97.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STEF@32bded8</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1.32bded8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1.32bded8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1.32bded8</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450e85e6-762e-458c-9aac-c71785984d65"/>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1.32bded8 del 10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a9abc673-a27b-462b-88a2-1e13394ce8e3"/>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fbe48382-e3d2-433f-9685-c9e6c40d1c43"/>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7065cc1a-31a7-4de5-9bda-1f66ea34bc04"/>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1f64bbaa-f747-458c-9fef-931b7b6cd2e6"/>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800ebce6-9c12-4c6f-b79b-f72e7eebcf19"/>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4b0ad76a-fda3-4a98-a1c3-b5bd45db56b2"/>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1.32bded8</w:t>
      </w:r>
    </w:p>
    <w:p>
      <w:pPr>
        <w:pStyle w:val="FirstParagraph"/>
      </w:pPr>
    </w:p>
    <w:bookmarkEnd w:id="75"/>
    <w:bookmarkEnd w:id="76"/>
    <w:bookmarkEnd w:id="77"/>
    <w:bookmarkStart w:id="86" w:name="Xfdc9c46fffb92987d4fb5ee4f99c21333ce1d71"/>
    <w:p>
      <w:pPr>
        <w:pStyle w:val="Ttulo1"/>
      </w:pPr>
      <w:r>
        <w:t xml:space="preserve">Producto 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8" w:name="justificación-1"/>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78"/>
    <w:bookmarkStart w:id="79" w:name="contenidos-2"/>
    <w:p>
      <w:pPr>
        <w:pStyle w:val="Ttulo2"/>
      </w:pPr>
      <w:r>
        <w:t xml:space="preserve">Contenidos</w:t>
      </w:r>
    </w:p>
    <w:p>
      <w:pPr>
        <w:numPr>
          <w:ilvl w:val="0"/>
          <w:numId w:val="1008"/>
        </w:numPr>
        <w:pStyle w:val="Compact"/>
      </w:pPr>
      <w:r>
        <w:t xml:space="preserve">Definición de los Bloques de Construcción Abstractos del FNA (BCAF)</w:t>
      </w:r>
    </w:p>
    <w:p>
      <w:pPr>
        <w:numPr>
          <w:ilvl w:val="0"/>
          <w:numId w:val="1008"/>
        </w:numPr>
        <w:pStyle w:val="Compact"/>
      </w:pPr>
      <w:r>
        <w:t xml:space="preserve">Métodos para la gestión y evolución de los Bloques de Construcción Abstractos del FNA (BCAF)</w:t>
      </w:r>
    </w:p>
    <w:p>
      <w:pPr>
        <w:numPr>
          <w:ilvl w:val="0"/>
          <w:numId w:val="1008"/>
        </w:numPr>
        <w:pStyle w:val="Compact"/>
      </w:pPr>
      <w:r>
        <w:t xml:space="preserve">Listado de Bloques de Construcción Abstractos del FNA (BCAF)</w:t>
      </w:r>
    </w:p>
    <w:p>
      <w:pPr>
        <w:numPr>
          <w:ilvl w:val="0"/>
          <w:numId w:val="1008"/>
        </w:numPr>
        <w:pStyle w:val="Compact"/>
      </w:pPr>
      <w:r>
        <w:t xml:space="preserve">Utilización de los Bloques de Construcción Abstractos en 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del concepto del bloque de construcción genérico</w:t>
      </w:r>
    </w:p>
    <w:p>
      <w:pPr>
        <w:numPr>
          <w:ilvl w:val="0"/>
          <w:numId w:val="1009"/>
        </w:numPr>
        <w:pStyle w:val="Compact"/>
      </w:pPr>
      <w:r>
        <w:t xml:space="preserve">Entendimiento del uso de los prediseños de arquitectura</w:t>
      </w:r>
    </w:p>
    <w:p>
      <w:pPr>
        <w:numPr>
          <w:ilvl w:val="0"/>
          <w:numId w:val="1009"/>
        </w:numPr>
        <w:pStyle w:val="Compact"/>
      </w:pPr>
      <w:r>
        <w:t xml:space="preserve">Entrega del listado de Bloques de Construcción Abstractos del FNA (BCAF)Lista de</w:t>
      </w:r>
    </w:p>
    <w:p>
      <w:pPr>
        <w:pStyle w:val="FirstParagraph"/>
      </w:pPr>
    </w:p>
    <w:bookmarkEnd w:id="80"/>
    <w:bookmarkStart w:id="85" w:name="modelo-de-implementación-del-pry02-1"/>
    <w:p>
      <w:pPr>
        <w:pStyle w:val="Ttulo2"/>
      </w:pPr>
      <w:r>
        <w:t xml:space="preserve">Modelo de Implementación del PRY02</w:t>
      </w:r>
    </w:p>
    <w:bookmarkStart w:id="0" w:name="fig:3237bc7b-eb61-423b-b006-756f1db2aa14"/>
    <w:p>
      <w:pPr>
        <w:pStyle w:val="CaptionedFigure"/>
      </w:pPr>
      <w:bookmarkStart w:id="83" w:name="fig:"/>
      <w:r>
        <w:drawing>
          <wp:inline>
            <wp:extent cx="5600700" cy="4264411"/>
            <wp:effectExtent b="0" l="0" r="0" t="0"/>
            <wp:docPr descr="Imagen 9: Plan de Implementación del Proyecto Arquitectura de Referencia SOA 2.0 del FNA (PRY02), 2023. Junio 2023 a juli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Definición de los Bloques de Construcción Abstractos del FNA (BCAF)</w:t>
            </w:r>
          </w:p>
        </w:tc>
      </w:tr>
      <w:tr>
        <w:tc>
          <w:tcPr/>
          <w:p>
            <w:pPr>
              <w:pStyle w:val="Compact"/>
              <w:jc w:val="left"/>
            </w:pPr>
            <w:r>
              <w:t xml:space="preserve">Palabras clave</w:t>
            </w:r>
          </w:p>
        </w:tc>
        <w:tc>
          <w:tcPr/>
          <w:p>
            <w:pPr>
              <w:pStyle w:val="Compact"/>
              <w:jc w:val="left"/>
            </w:pPr>
            <w:r>
              <w:t xml:space="preserve">SOA, Arquitectura de referencia, Bloques de construcción, Genéricos, Reutilización, Tiempo de mercado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1.32bded8</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070fdeb21fc9e9197f843cc48bf4eb018a20c"/>
    <w:p>
      <w:pPr>
        <w:pStyle w:val="Ttulo1"/>
      </w:pPr>
      <w:r>
        <w:t xml:space="preserve">La Problemática del Tiempo de Mercado (salidas a producción) en el FNA</w:t>
      </w:r>
    </w:p>
    <w:p>
      <w:pPr>
        <w:pStyle w:val="FirstParagraph"/>
      </w:pPr>
      <w:r>
        <w:t xml:space="preserve">Con base a los diagnósticos de población del portafolio de servicios SOA del FNA (ver</w:t>
      </w:r>
      <w:r>
        <w:t xml:space="preserve"> </w:t>
      </w:r>
      <w:r>
        <w:t xml:space="preserve">[</w:t>
      </w:r>
      <w:hyperlink w:anchor="ref-19ZPD5YjC">
        <w:r>
          <w:rPr>
            <w:rStyle w:val="Hipervnculo"/>
          </w:rPr>
          <w:t xml:space="preserve">1</w:t>
        </w:r>
      </w:hyperlink>
      <w:r>
        <w:t xml:space="preserve">]</w:t>
      </w:r>
      <w:r>
        <w:t xml:space="preserve">), el cual trata de la clasificación de servicios, tenemos el hecho de que la</w:t>
      </w:r>
      <w:r>
        <w:t xml:space="preserve"> </w:t>
      </w:r>
      <w:r>
        <w:rPr>
          <w:iCs/>
          <w:i/>
        </w:rPr>
        <w:t xml:space="preserve">mayor cantidad de servicios del portafolio son del tipo servicios de información</w:t>
      </w:r>
      <w:r>
        <w:t xml:space="preserve"> </w:t>
      </w:r>
      <w:r>
        <w:t xml:space="preserve">(ver anexo 1, Población de servicios del portafolio SOA del FNA).</w:t>
      </w:r>
    </w:p>
    <w:p>
      <w:pPr>
        <w:pStyle w:val="Textoindependiente"/>
      </w:pPr>
      <w:r>
        <w:t xml:space="preserve">Lo anterior responde a que la mayor cantidad de servicios SOA que son relevantes para el Fondo sirven para transportar información, esto es, para responder a solicitudes de información de los procesos o aplicaciones. Así mismo, este grupo influye en la cantidad de esfuerzo en mantenimiento y gobierno SOA. Los servicios de negocio, aquellos que elaboran una respuesta mediante un cómputo (sea cálculo, diferencia, comparación…), y por tanto, inciden en la flexibilidad de negocio, son los de menor presencia en el portafolio FNA.</w:t>
      </w:r>
    </w:p>
    <w:p>
      <w:pPr>
        <w:pStyle w:val="Textoindependiente"/>
      </w:pPr>
    </w:p>
    <w:p>
      <w:pPr>
        <w:pStyle w:val="Textoindependiente"/>
      </w:pPr>
      <w:r>
        <w:rPr>
          <w:bCs/>
          <w:b/>
        </w:rPr>
        <w:t xml:space="preserve">Es importante</w:t>
      </w:r>
      <w:r>
        <w:t xml:space="preserve"> </w:t>
      </w:r>
      <w:r>
        <w:t xml:space="preserve">tener esta población presente porque puede estar influyendo en inclinar los esfuerzos hacia el mantenimiento de servicios de información, en lugar de a la velocidad de salida (tiempo de mercado) de las funcionalidades de negocio.</w:t>
      </w:r>
    </w:p>
    <w:p>
      <w:pPr>
        <w:pStyle w:val="Textoindependiente"/>
      </w:pPr>
    </w:p>
    <w:bookmarkEnd w:id="87"/>
    <w:bookmarkStart w:id="92" w:name="X1f35e4b68c09793f2cdbec0209a1b75babe1458"/>
    <w:p>
      <w:pPr>
        <w:pStyle w:val="Ttulo1"/>
      </w:pPr>
      <w:r>
        <w:t xml:space="preserve">Definición de los Bloques de Construcción Abstractos del FNA (BCAF)</w:t>
      </w:r>
    </w:p>
    <w:bookmarkStart w:id="89"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Textoindependiente"/>
      </w:pPr>
      <w:bookmarkStart w:id="88" w:name="fig:flujoADM-2.png"/>
      <w:r>
        <w:t xml:space="preserve">Imagen 10: alt 2. Actividades y relaciones de los estados de un flujo de trabajo de la oficina de arquitectura con arreglo al proceso ADM de TOGAF. Flujo para la oficina de arquitectura en conjunto con proveedores del FNA.</w:t>
      </w:r>
      <w:bookmarkEnd w:id="88"/>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89"/>
    <w:bookmarkStart w:id="91" w:name="X0836c23bf880f612de349bd04ef79fd5df7caf2"/>
    <w:p>
      <w:pPr>
        <w:pStyle w:val="Ttulo2"/>
      </w:pPr>
      <w:r>
        <w:t xml:space="preserve">Anexo 2. Población de servicios del portafolio FNA.</w:t>
      </w:r>
    </w:p>
    <w:p>
      <w:pPr>
        <w:pStyle w:val="FirstParagraph"/>
      </w:pPr>
      <w:r>
        <w:t xml:space="preserve">La tabla siguiente muestra la población de servicios del portafolio FNA.</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left"/>
            </w:pPr>
            <w:r>
              <w:rPr>
                <w:bCs/>
                <w:b/>
              </w:rPr>
              <w:t xml:space="preserve">Cantidad</w:t>
            </w:r>
          </w:p>
        </w:tc>
      </w:tr>
      <w:tr>
        <w:tc>
          <w:tcPr/>
          <w:p>
            <w:pPr>
              <w:pStyle w:val="Compact"/>
              <w:jc w:val="left"/>
            </w:pPr>
            <w:r>
              <w:t xml:space="preserve">Servicio Información</w:t>
            </w:r>
          </w:p>
        </w:tc>
        <w:tc>
          <w:tcPr/>
          <w:p>
            <w:pPr>
              <w:pStyle w:val="Compact"/>
              <w:jc w:val="left"/>
            </w:pPr>
            <w:r>
              <w:rPr>
                <w:bCs/>
                <w:b/>
              </w:rPr>
              <w:t xml:space="preserve">55</w:t>
            </w:r>
          </w:p>
        </w:tc>
      </w:tr>
      <w:tr>
        <w:tc>
          <w:tcPr/>
          <w:p>
            <w:pPr>
              <w:pStyle w:val="Compact"/>
              <w:jc w:val="left"/>
            </w:pPr>
            <w:r>
              <w:t xml:space="preserve">Servicio Proceso</w:t>
            </w:r>
          </w:p>
        </w:tc>
        <w:tc>
          <w:tcPr/>
          <w:p>
            <w:pPr>
              <w:pStyle w:val="Compact"/>
              <w:jc w:val="left"/>
            </w:pPr>
            <w:r>
              <w:t xml:space="preserve">18</w:t>
            </w:r>
          </w:p>
        </w:tc>
      </w:tr>
      <w:tr>
        <w:tc>
          <w:tcPr/>
          <w:p>
            <w:pPr>
              <w:pStyle w:val="Compact"/>
              <w:jc w:val="left"/>
            </w:pPr>
            <w:r>
              <w:t xml:space="preserve">Servicio Negocio</w:t>
            </w:r>
          </w:p>
        </w:tc>
        <w:tc>
          <w:tcPr/>
          <w:p>
            <w:pPr>
              <w:pStyle w:val="Compact"/>
              <w:jc w:val="left"/>
            </w:pPr>
            <w:r>
              <w:t xml:space="preserve">14</w:t>
            </w:r>
          </w:p>
        </w:tc>
      </w:tr>
      <w:tr>
        <w:tc>
          <w:tcPr/>
          <w:p>
            <w:pPr>
              <w:pStyle w:val="Compact"/>
              <w:jc w:val="left"/>
            </w:pPr>
            <w:r>
              <w:rPr>
                <w:bCs/>
                <w:b/>
              </w:rPr>
              <w:t xml:space="preserve">Total general</w:t>
            </w:r>
          </w:p>
        </w:tc>
        <w:tc>
          <w:tcPr/>
          <w:p>
            <w:pPr>
              <w:pStyle w:val="Compact"/>
              <w:jc w:val="left"/>
            </w:pPr>
            <w:r>
              <w:rPr>
                <w:bCs/>
                <w:b/>
              </w:rPr>
              <w:t xml:space="preserve">87</w:t>
            </w:r>
          </w:p>
        </w:tc>
      </w:tr>
    </w:tbl>
    <w:p>
      <w:pPr>
        <w:pStyle w:val="Textoindependiente"/>
      </w:pPr>
      <w:hyperlink r:id="rId90">
        <w:r>
          <w:rPr>
            <w:rStyle w:val="Hipervnculo"/>
          </w:rPr>
          <w:t xml:space="preserve">Tabla.</w:t>
        </w:r>
      </w:hyperlink>
      <w:r>
        <w:t xml:space="preserve"> </w:t>
      </w:r>
      <w:r>
        <w:t xml:space="preserve">Catalogación de los tipos de servicios SOA del FNA.</w:t>
      </w:r>
    </w:p>
    <w:p>
      <w:pPr>
        <w:pStyle w:val="Textoindependiente"/>
      </w:pPr>
      <w:r>
        <w:rPr>
          <w:iCs/>
          <w:i/>
        </w:rPr>
        <w:t xml:space="preserve">Fuente: elaboración propia, FNA_PortafolioServiciosFinal+ConsumidoresyProveedores.xlsx</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1.32bded8</w:t>
      </w:r>
    </w:p>
    <w:p>
      <w:pPr>
        <w:pStyle w:val="FirstParagraph"/>
      </w:pPr>
    </w:p>
    <w:bookmarkEnd w:id="91"/>
    <w:bookmarkEnd w:id="92"/>
    <w:bookmarkStart w:id="107"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93">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4" w:name="justificación-2"/>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94"/>
    <w:bookmarkStart w:id="95" w:name="contenidos-3"/>
    <w:p>
      <w:pPr>
        <w:pStyle w:val="Ttulo2"/>
      </w:pPr>
      <w:r>
        <w:t xml:space="preserve">Contenidos</w:t>
      </w:r>
    </w:p>
    <w:p>
      <w:pPr>
        <w:numPr>
          <w:ilvl w:val="0"/>
          <w:numId w:val="1010"/>
        </w:numPr>
        <w:pStyle w:val="Compact"/>
      </w:pPr>
      <w:r>
        <w:t xml:space="preserve">Definición de los Bloques de Construcción Abstractos del FNA (BCAF)</w:t>
      </w:r>
    </w:p>
    <w:p>
      <w:pPr>
        <w:numPr>
          <w:ilvl w:val="0"/>
          <w:numId w:val="1010"/>
        </w:numPr>
        <w:pStyle w:val="Compact"/>
      </w:pPr>
      <w:r>
        <w:t xml:space="preserve">Métodos para la gestión y evolución de los Bloques de Construcción Abstractos del FNA (BCAF)</w:t>
      </w:r>
    </w:p>
    <w:p>
      <w:pPr>
        <w:numPr>
          <w:ilvl w:val="0"/>
          <w:numId w:val="1010"/>
        </w:numPr>
        <w:pStyle w:val="Compact"/>
      </w:pPr>
      <w:r>
        <w:t xml:space="preserve">Listado de Bloques de Construcción Abstractos del FNA (BCAF)</w:t>
      </w:r>
    </w:p>
    <w:p>
      <w:pPr>
        <w:numPr>
          <w:ilvl w:val="0"/>
          <w:numId w:val="1010"/>
        </w:numPr>
        <w:pStyle w:val="Compact"/>
      </w:pPr>
      <w:r>
        <w:t xml:space="preserve">Utilización de los Bloques de Construcción Abstractos en el FNA</w:t>
      </w:r>
    </w:p>
    <w:p>
      <w:pPr>
        <w:pStyle w:val="FirstParagraph"/>
      </w:pPr>
    </w:p>
    <w:bookmarkEnd w:id="95"/>
    <w:bookmarkStart w:id="96" w:name="criterios-de-aceptación-2"/>
    <w:p>
      <w:pPr>
        <w:pStyle w:val="Ttulo2"/>
      </w:pPr>
      <w:r>
        <w:t xml:space="preserve">Criterios de Aceptación</w:t>
      </w:r>
    </w:p>
    <w:p>
      <w:pPr>
        <w:numPr>
          <w:ilvl w:val="0"/>
          <w:numId w:val="1011"/>
        </w:numPr>
        <w:pStyle w:val="Compact"/>
      </w:pPr>
      <w:r>
        <w:t xml:space="preserve">Detalle de ítems de la línea base de arquitectura de referencia 2.0 del FNA</w:t>
      </w:r>
    </w:p>
    <w:p>
      <w:pPr>
        <w:numPr>
          <w:ilvl w:val="0"/>
          <w:numId w:val="1011"/>
        </w:numPr>
        <w:pStyle w:val="Compact"/>
      </w:pPr>
      <w:r>
        <w:t xml:space="preserve">Repositorio de arquitectura del FNA, versión 0.5, actualizado con arquitectura de referencia</w:t>
      </w:r>
    </w:p>
    <w:p>
      <w:pPr>
        <w:numPr>
          <w:ilvl w:val="0"/>
          <w:numId w:val="1011"/>
        </w:numPr>
        <w:pStyle w:val="Compact"/>
      </w:pPr>
      <w:r>
        <w:t xml:space="preserve">Consideraciones para la adopción y puesta en marcha de los cambios en las arquitecturas del FNA</w:t>
      </w:r>
    </w:p>
    <w:p>
      <w:pPr>
        <w:numPr>
          <w:ilvl w:val="0"/>
          <w:numId w:val="1011"/>
        </w:numPr>
        <w:pStyle w:val="Compact"/>
      </w:pPr>
      <w:r>
        <w:t xml:space="preserve">Anexo. Herramienta de navegación del repositorio de arquitectura del FNA versión 0.3</w:t>
      </w:r>
    </w:p>
    <w:p>
      <w:pPr>
        <w:pStyle w:val="FirstParagraph"/>
      </w:pPr>
    </w:p>
    <w:bookmarkEnd w:id="96"/>
    <w:bookmarkStart w:id="101" w:name="X63225c0b36a9346ce5dec23441d5bc9e130da08"/>
    <w:p>
      <w:pPr>
        <w:pStyle w:val="Ttulo2"/>
      </w:pPr>
      <w:r>
        <w:t xml:space="preserve">Repositorio de Arquitectura del FNA, versión 0.5</w:t>
      </w:r>
    </w:p>
    <w:bookmarkStart w:id="0" w:name="fig:2b06b72d-dd14-4ef8-be7a-d846c8da6b95"/>
    <w:p>
      <w:pPr>
        <w:pStyle w:val="CaptionedFigure"/>
      </w:pPr>
      <w:bookmarkStart w:id="100" w:name="fig:"/>
      <w:r>
        <w:drawing>
          <wp:inline>
            <wp:extent cx="5600700" cy="2790366"/>
            <wp:effectExtent b="0" l="0" r="0" t="0"/>
            <wp:docPr descr="Imagen 11: Artefactos del repositorio de arquitectura del FNA." title="" id="98" name="Picture"/>
            <a:graphic>
              <a:graphicData uri="http://schemas.openxmlformats.org/drawingml/2006/picture">
                <pic:pic>
                  <pic:nvPicPr>
                    <pic:cNvPr descr="images/repofna.png" id="99" name="Picture"/>
                    <pic:cNvPicPr>
                      <a:picLocks noChangeArrowheads="1" noChangeAspect="1"/>
                    </pic:cNvPicPr>
                  </pic:nvPicPr>
                  <pic:blipFill>
                    <a:blip r:embed="rId97"/>
                    <a:stretch>
                      <a:fillRect/>
                    </a:stretch>
                  </pic:blipFill>
                  <pic:spPr bwMode="auto">
                    <a:xfrm>
                      <a:off x="0" y="0"/>
                      <a:ext cx="5600700" cy="2790366"/>
                    </a:xfrm>
                    <a:prstGeom prst="rect">
                      <a:avLst/>
                    </a:prstGeom>
                    <a:noFill/>
                    <a:ln w="9525">
                      <a:noFill/>
                      <a:headEnd/>
                      <a:tailEnd/>
                    </a:ln>
                  </pic:spPr>
                </pic:pic>
              </a:graphicData>
            </a:graphic>
          </wp:inline>
        </w:drawing>
      </w:r>
      <w:bookmarkEnd w:id="100"/>
    </w:p>
    <w:p>
      <w:pPr>
        <w:pStyle w:val="ImageCaption"/>
      </w:pPr>
      <w:r>
        <w:t xml:space="preserve">Imagen 11: Artefactos del repositorio de arquitectura del FNA.</w:t>
      </w:r>
    </w:p>
    <w:bookmarkEnd w:id="0"/>
    <w:p>
      <w:pPr>
        <w:pStyle w:val="Textoindependiente"/>
      </w:pPr>
      <w:r>
        <w:rPr>
          <w:iCs/>
          <w:i/>
        </w:rPr>
        <w:t xml:space="preserve">Fuente: Diagnóstico SOA. E-Service (2022).</w:t>
      </w:r>
    </w:p>
    <w:bookmarkEnd w:id="101"/>
    <w:bookmarkStart w:id="106" w:name="modelo-de-implementación-del-pry02-2"/>
    <w:p>
      <w:pPr>
        <w:pStyle w:val="Ttulo2"/>
      </w:pPr>
      <w:r>
        <w:t xml:space="preserve">Modelo de Implementación del PRY02</w:t>
      </w:r>
    </w:p>
    <w:bookmarkStart w:id="0" w:name="fig:29296c85-a518-494b-89bd-a4a02a76997e"/>
    <w:p>
      <w:pPr>
        <w:pStyle w:val="CaptionedFigure"/>
      </w:pPr>
      <w:bookmarkStart w:id="105" w:name="fig:"/>
      <w:r>
        <w:drawing>
          <wp:inline>
            <wp:extent cx="5600700" cy="4264411"/>
            <wp:effectExtent b="0" l="0" r="0" t="0"/>
            <wp:docPr descr="Imagen 12: Plan de Implementación del Proyecto Arquitectura de Referencia SOA 2.0 del FNA (PRY02), 2023. Junio 2023 a julio 2023" title="" id="103" name="Picture"/>
            <a:graphic>
              <a:graphicData uri="http://schemas.openxmlformats.org/drawingml/2006/picture">
                <pic:pic>
                  <pic:nvPicPr>
                    <pic:cNvPr descr="images/pry2e4.png" id="104" name="Picture"/>
                    <pic:cNvPicPr>
                      <a:picLocks noChangeArrowheads="1" noChangeAspect="1"/>
                    </pic:cNvPicPr>
                  </pic:nvPicPr>
                  <pic:blipFill>
                    <a:blip r:embed="rId102"/>
                    <a:stretch>
                      <a:fillRect/>
                    </a:stretch>
                  </pic:blipFill>
                  <pic:spPr bwMode="auto">
                    <a:xfrm>
                      <a:off x="0" y="0"/>
                      <a:ext cx="5600700" cy="4264411"/>
                    </a:xfrm>
                    <a:prstGeom prst="rect">
                      <a:avLst/>
                    </a:prstGeom>
                    <a:noFill/>
                    <a:ln w="9525">
                      <a:noFill/>
                      <a:headEnd/>
                      <a:tailEnd/>
                    </a:ln>
                  </pic:spPr>
                </pic:pic>
              </a:graphicData>
            </a:graphic>
          </wp:inline>
        </w:drawing>
      </w:r>
      <w:bookmarkEnd w:id="105"/>
    </w:p>
    <w:p>
      <w:pPr>
        <w:pStyle w:val="ImageCaption"/>
      </w:pPr>
      <w:r>
        <w:t xml:space="preserve">Imagen 12: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106"/>
    <w:bookmarkEnd w:id="107"/>
    <w:bookmarkStart w:id="119" w:name="referencias"/>
    <w:p>
      <w:pPr>
        <w:pStyle w:val="Ttulo1"/>
      </w:pPr>
      <w:r>
        <w:t xml:space="preserve">Referencias</w:t>
      </w:r>
    </w:p>
    <w:bookmarkStart w:id="11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0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8">
        <w:r>
          <w:rPr>
            <w:rStyle w:val="Hipervnculo"/>
          </w:rPr>
          <w:t xml:space="preserve">https://hwong23.github.io/fna-devdoc-f1/v/6497aef0f15c3591f0728e4c42cb2c26c13b43aa/</w:t>
        </w:r>
      </w:hyperlink>
    </w:p>
    <w:bookmarkEnd w:id="109"/>
    <w:bookmarkStart w:id="11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8">
        <w:r>
          <w:rPr>
            <w:rStyle w:val="Hipervnculo"/>
          </w:rPr>
          <w:t xml:space="preserve">https://hwong23.github.io/fna-devdoc-f1/v/6497aef0f15c3591f0728e4c42cb2c26c13b43aa/</w:t>
        </w:r>
      </w:hyperlink>
    </w:p>
    <w:bookmarkEnd w:id="110"/>
    <w:bookmarkStart w:id="11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8">
        <w:r>
          <w:rPr>
            <w:rStyle w:val="Hipervnculo"/>
          </w:rPr>
          <w:t xml:space="preserve">https://hwong23.github.io/fna-devdoc-f1/v/6497aef0f15c3591f0728e4c42cb2c26c13b43aa/</w:t>
        </w:r>
      </w:hyperlink>
    </w:p>
    <w:bookmarkEnd w:id="111"/>
    <w:bookmarkStart w:id="11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5">
        <w:r>
          <w:rPr>
            <w:rStyle w:val="Hipervnculo"/>
          </w:rPr>
          <w:t xml:space="preserve">https://hwong23.github.io/fna-dd-f2-e1/</w:t>
        </w:r>
      </w:hyperlink>
    </w:p>
    <w:bookmarkEnd w:id="116"/>
    <w:bookmarkStart w:id="11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5">
        <w:r>
          <w:rPr>
            <w:rStyle w:val="Hipervnculo"/>
          </w:rPr>
          <w:t xml:space="preserve">https://hwong23.github.io/fna-dd-f2-e1/</w:t>
        </w:r>
      </w:hyperlink>
    </w:p>
    <w:bookmarkEnd w:id="117"/>
    <w:bookmarkEnd w:id="118"/>
    <w:bookmarkEnd w:id="11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43" Target="media/rId43.jpg" /><Relationship Type="http://schemas.openxmlformats.org/officeDocument/2006/relationships/hyperlink" Id="rId90" Target="" TargetMode="External" /><Relationship Type="http://schemas.openxmlformats.org/officeDocument/2006/relationships/hyperlink" Id="rId93"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5" Target="https://hwong23.github.io/fna-dd-f2-e1/" TargetMode="External" /><Relationship Type="http://schemas.openxmlformats.org/officeDocument/2006/relationships/hyperlink" Id="rId20" Target="https://hwong23.github.io/fna-dd-f2-pry2-e3/v/32bded887c35ef2c9127f09dfb43b32c7b69c3ad/" TargetMode="External" /><Relationship Type="http://schemas.openxmlformats.org/officeDocument/2006/relationships/hyperlink" Id="rId108"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0" Target="" TargetMode="External" /><Relationship Type="http://schemas.openxmlformats.org/officeDocument/2006/relationships/hyperlink" Id="rId93"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5" Target="https://hwong23.github.io/fna-dd-f2-e1/" TargetMode="External" /><Relationship Type="http://schemas.openxmlformats.org/officeDocument/2006/relationships/hyperlink" Id="rId20" Target="https://hwong23.github.io/fna-dd-f2-pry2-e3/v/32bded887c35ef2c9127f09dfb43b32c7b69c3ad/" TargetMode="External" /><Relationship Type="http://schemas.openxmlformats.org/officeDocument/2006/relationships/hyperlink" Id="rId108"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2023-08-10T21:28:53Z</dcterms:created>
  <dcterms:modified xsi:type="dcterms:W3CDTF">2023-08-10T21:28:53Z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Análisis de impacto y modelos actualizados de los ítems de arquitectura</vt:lpwstr>
  </property>
  <property fmtid="{D5CDD505-2E9C-101B-9397-08002B2CF9AE}" pid="19" name="references">
    <vt:lpwstr/>
  </property>
  <property fmtid="{D5CDD505-2E9C-101B-9397-08002B2CF9AE}" pid="20" name="tablenos-caption-name">
    <vt:lpwstr>Tabla</vt:lpwstr>
  </property>
</Properties>
</file>